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5812"/>
      </w:tblGrid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102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02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ru-RU"/>
              </w:rPr>
              <w:t>КОМИТЕТ  ПО  АРХИТЕКТУРЕ  И ГРАДОСТРОИТЕЛЬСТВУ</w:t>
              <w:br w:type="textWrapping"/>
              <w:t>МОСКОВСКОЙ  ОБЛАСТИ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102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МОСОБЛАРХИТЕКТУРА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4394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Кулакова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Москва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123592</w:t>
            </w:r>
          </w:p>
        </w:tc>
        <w:tc>
          <w:tcPr>
            <w:tcW w:type="dxa" w:w="581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тел 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(498)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602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84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65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(498)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602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84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e-mail: mosoblarh@mosreg.ru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40" w:lineRule="auto"/>
        <w:ind w:left="567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line="240" w:lineRule="auto"/>
        <w:ind w:firstLine="567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Услуги в градостроительной сфере пользуются популярностью среди жителей и предпринимателей Подмосковья</w:t>
      </w:r>
    </w:p>
    <w:p>
      <w:pPr>
        <w:pStyle w:val="Normal.0"/>
        <w:suppressAutoHyphens w:val="1"/>
        <w:spacing w:line="240" w:lineRule="auto"/>
        <w:ind w:left="5670" w:firstLine="0"/>
      </w:pP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 xml:space="preserve">Московская область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один из самых градостроительно активных регионов в стране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В целях повышения инвестиционной привлекательности области Правительством Московской области проведена масштабная работа по цифровизации государственных и муниципальных услуг в градостроительной сфере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услуги предоставляются в электронном виде через региональный портал государственных и муниципальных услуг 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РПГУ МО</w:t>
      </w:r>
      <w:r>
        <w:rPr>
          <w:rStyle w:val="Нет A"/>
          <w:rtl w:val="0"/>
          <w:lang w:val="ru-RU"/>
        </w:rPr>
        <w:t xml:space="preserve">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"https://uslugi.mosreg.ru"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https://uslugi.mosreg.ru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Уже завершилась работа по цифровизации всех муниципальных и региональных услуг в градсфере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продолжается работа по федеральным услугам</w:t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>«Если говорить о муниципальных услугах градостроительного блока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то одной из самых популярных среди жителей Подмосковья на протяжении уже нескольких лет является услуга по присвоению адреса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За первую половину </w:t>
      </w:r>
      <w:r>
        <w:rPr>
          <w:rStyle w:val="Нет A"/>
          <w:rtl w:val="0"/>
          <w:lang w:val="ru-RU"/>
        </w:rPr>
        <w:t xml:space="preserve">2020 </w:t>
      </w:r>
      <w:r>
        <w:rPr>
          <w:rStyle w:val="Нет A"/>
          <w:rtl w:val="0"/>
          <w:lang w:val="ru-RU"/>
        </w:rPr>
        <w:t xml:space="preserve">года было присвоено прядка </w:t>
      </w:r>
      <w:r>
        <w:rPr>
          <w:rStyle w:val="Нет A"/>
          <w:rtl w:val="0"/>
          <w:lang w:val="ru-RU"/>
        </w:rPr>
        <w:t xml:space="preserve">40 </w:t>
      </w:r>
      <w:r>
        <w:rPr>
          <w:rStyle w:val="Нет A"/>
          <w:rtl w:val="0"/>
          <w:lang w:val="ru-RU"/>
        </w:rPr>
        <w:t>тысяч адресов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Вторая по популярности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услуга по выдаче ордера на право производства земляных работ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С января по июль жители региона получили около </w:t>
      </w:r>
      <w:r>
        <w:rPr>
          <w:rStyle w:val="Нет A"/>
          <w:rtl w:val="0"/>
          <w:lang w:val="ru-RU"/>
        </w:rPr>
        <w:t xml:space="preserve">16 </w:t>
      </w:r>
      <w:r>
        <w:rPr>
          <w:rStyle w:val="Нет A"/>
          <w:rtl w:val="0"/>
          <w:lang w:val="ru-RU"/>
        </w:rPr>
        <w:t>тысяч ордеров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наконец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на третьем месте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 xml:space="preserve">услуга по установке средств размещения информации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 xml:space="preserve">всего </w:t>
      </w:r>
      <w:r>
        <w:rPr>
          <w:rStyle w:val="Нет A"/>
          <w:rtl w:val="0"/>
          <w:lang w:val="ru-RU"/>
        </w:rPr>
        <w:t xml:space="preserve">12 </w:t>
      </w:r>
      <w:r>
        <w:rPr>
          <w:rStyle w:val="Нет A"/>
          <w:rtl w:val="0"/>
          <w:lang w:val="ru-RU"/>
        </w:rPr>
        <w:t>тысяч заявок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Оптимизация услуг позволила достичь снижения сроков их оказания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повысить качество и доступность»</w:t>
      </w:r>
      <w:r>
        <w:rPr>
          <w:rStyle w:val="Нет A"/>
          <w:rtl w:val="0"/>
          <w:lang w:val="ru-RU"/>
        </w:rPr>
        <w:t xml:space="preserve">, - </w:t>
      </w:r>
      <w:r>
        <w:rPr>
          <w:rStyle w:val="Нет A"/>
          <w:rtl w:val="0"/>
          <w:lang w:val="ru-RU"/>
        </w:rPr>
        <w:t>заявил председатель Комитета по архитектуре и градостроительству Московской области Владислав Гордиенко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>Напомним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что услуга по присвоению адреса объекту действует в электронном виде через РПГУ МО с осени </w:t>
      </w:r>
      <w:r>
        <w:rPr>
          <w:rStyle w:val="Нет A"/>
          <w:rtl w:val="0"/>
          <w:lang w:val="ru-RU"/>
        </w:rPr>
        <w:t xml:space="preserve">2017 </w:t>
      </w:r>
      <w:r>
        <w:rPr>
          <w:rStyle w:val="Нет A"/>
          <w:rtl w:val="0"/>
          <w:lang w:val="ru-RU"/>
        </w:rPr>
        <w:t xml:space="preserve">года </w:t>
      </w:r>
      <w:r>
        <w:rPr>
          <w:rStyle w:val="Нет A"/>
          <w:rtl w:val="0"/>
          <w:lang w:val="ru-RU"/>
        </w:rPr>
        <w:t xml:space="preserve">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"https://uslugi.mosreg.ru/services/6912"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https://uslugi.mosreg.ru/services/6912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Обратиться за услугой могут физические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юридические лица и индивидуальные предприниматели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Срок оказания услуги </w:t>
      </w:r>
      <w:r>
        <w:rPr>
          <w:rStyle w:val="Нет A"/>
          <w:rtl w:val="0"/>
          <w:lang w:val="ru-RU"/>
        </w:rPr>
        <w:t xml:space="preserve">- 12 </w:t>
      </w:r>
      <w:r>
        <w:rPr>
          <w:rStyle w:val="Нет A"/>
          <w:rtl w:val="0"/>
          <w:lang w:val="ru-RU"/>
        </w:rPr>
        <w:t>рабочих дней со дня регистрации заявления в органе местного самоуправления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Статус рассмотрения заявления заявитель может отслеживать в личном кабинете на РПГУ МО</w:t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>«Что касается федеральных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курирует Комитет по архитектуре и градостроительству Московской области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то самыми востребованными являются услуги по согласованию строительства в приаэродромных территориях как государственных аэродромов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таких как «Кубинка»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«Чкаловский»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«Клин»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«Остафьево» и «Ступино»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так и аэродромов гражданской и экспериментальной авиации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За полгода было отработано порядка </w:t>
      </w:r>
      <w:r>
        <w:rPr>
          <w:rStyle w:val="Нет A"/>
          <w:rtl w:val="0"/>
          <w:lang w:val="ru-RU"/>
        </w:rPr>
        <w:t xml:space="preserve">8 </w:t>
      </w:r>
      <w:r>
        <w:rPr>
          <w:rStyle w:val="Нет A"/>
          <w:rtl w:val="0"/>
          <w:lang w:val="ru-RU"/>
        </w:rPr>
        <w:t>тысяч заявок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этом направлении нами была проделана масштабная работа по оптимизации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сокращению сроков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Подача заявки в электронном виде значительно упростила процедуру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жителям и предпринимателям больше не обязательно ехать для сдачи документов и получения согласований в территориальные управления ведомств Росавиации или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например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Минобороны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стоять в очередях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Теперь подать заявление можно с компьютера или планшета онлайн из дома или офиса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существенно экономит время»</w:t>
      </w:r>
      <w:r>
        <w:rPr>
          <w:rStyle w:val="Нет A"/>
          <w:rtl w:val="0"/>
          <w:lang w:val="ru-RU"/>
        </w:rPr>
        <w:t xml:space="preserve">, - </w:t>
      </w:r>
      <w:r>
        <w:rPr>
          <w:rStyle w:val="Нет A"/>
          <w:rtl w:val="0"/>
          <w:lang w:val="ru-RU"/>
        </w:rPr>
        <w:t>пояснил Владислав Гордиенко</w:t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 xml:space="preserve">Еще одна популярная федеральная услуга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«Выдача санитарно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эпидемиологических заключений»</w:t>
      </w:r>
      <w:r>
        <w:rPr>
          <w:rStyle w:val="Нет A"/>
          <w:rtl w:val="0"/>
          <w:lang w:val="ru-RU"/>
        </w:rPr>
        <w:t xml:space="preserve">.  </w:t>
      </w:r>
      <w:r>
        <w:rPr>
          <w:rStyle w:val="Нет A"/>
          <w:rtl w:val="0"/>
          <w:lang w:val="ru-RU"/>
        </w:rPr>
        <w:t xml:space="preserve">С января по июль </w:t>
      </w:r>
      <w:r>
        <w:rPr>
          <w:rStyle w:val="Нет A"/>
          <w:rtl w:val="0"/>
          <w:lang w:val="ru-RU"/>
        </w:rPr>
        <w:t xml:space="preserve">2020 </w:t>
      </w:r>
      <w:r>
        <w:rPr>
          <w:rStyle w:val="Нет A"/>
          <w:rtl w:val="0"/>
          <w:lang w:val="ru-RU"/>
        </w:rPr>
        <w:t xml:space="preserve">года заявителями подано порядка </w:t>
      </w:r>
      <w:r>
        <w:rPr>
          <w:rStyle w:val="Нет A"/>
          <w:rtl w:val="0"/>
          <w:lang w:val="ru-RU"/>
        </w:rPr>
        <w:t xml:space="preserve">1,5 </w:t>
      </w:r>
      <w:r>
        <w:rPr>
          <w:rStyle w:val="Нет A"/>
          <w:rtl w:val="0"/>
          <w:lang w:val="ru-RU"/>
        </w:rPr>
        <w:t>тысяч заявок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Заключение соглашения между Правительство Московской области и Роспотребнадзором стало серьезным шагом в масштабной работе по оптимизации разрешительных процедур для строительства в Подмосковье и улучшению инвестиционного климата региона</w:t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 xml:space="preserve">«Всего в градостроительной сфере в Московской области федеральными органами предоставляется </w:t>
      </w:r>
      <w:r>
        <w:rPr>
          <w:rStyle w:val="Нет A"/>
          <w:rtl w:val="0"/>
          <w:lang w:val="ru-RU"/>
        </w:rPr>
        <w:t xml:space="preserve">17 </w:t>
      </w:r>
      <w:r>
        <w:rPr>
          <w:rStyle w:val="Нет A"/>
          <w:rtl w:val="0"/>
          <w:lang w:val="ru-RU"/>
        </w:rPr>
        <w:t>государственных услуг</w:t>
      </w:r>
      <w:r>
        <w:rPr>
          <w:rStyle w:val="Нет A"/>
          <w:rtl w:val="0"/>
          <w:lang w:val="ru-RU"/>
        </w:rPr>
        <w:t xml:space="preserve">: 13 </w:t>
      </w:r>
      <w:r>
        <w:rPr>
          <w:rStyle w:val="Нет A"/>
          <w:rtl w:val="0"/>
          <w:lang w:val="ru-RU"/>
        </w:rPr>
        <w:t>из них уже доступны на РПГУ МО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еще </w:t>
      </w:r>
      <w:r>
        <w:rPr>
          <w:rStyle w:val="Нет A"/>
          <w:rtl w:val="0"/>
          <w:lang w:val="ru-RU"/>
        </w:rPr>
        <w:t xml:space="preserve">4 </w:t>
      </w:r>
      <w:r>
        <w:rPr>
          <w:rStyle w:val="Нет A"/>
          <w:rtl w:val="0"/>
          <w:lang w:val="ru-RU"/>
        </w:rPr>
        <w:t>планируется реализовать до конца года»</w:t>
      </w:r>
      <w:r>
        <w:rPr>
          <w:rStyle w:val="Нет A"/>
          <w:rtl w:val="0"/>
          <w:lang w:val="ru-RU"/>
        </w:rPr>
        <w:t xml:space="preserve">,- </w:t>
      </w:r>
      <w:r>
        <w:rPr>
          <w:rStyle w:val="Нет A"/>
          <w:rtl w:val="0"/>
          <w:lang w:val="ru-RU"/>
        </w:rPr>
        <w:t>добавил Владислав Гордиенко</w:t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>Вся информация о порядке предоставления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сроках оказания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необходимых документах и контакты куратора указаны в профиле каждой услуги на РПГУ МО </w:t>
      </w:r>
      <w:r>
        <w:rPr>
          <w:rStyle w:val="Нет A"/>
          <w:rtl w:val="0"/>
          <w:lang w:val="ru-RU"/>
        </w:rPr>
        <w:t xml:space="preserve">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"https://uslugi.mosreg.ru"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https://uslugi.mosreg.ru</w:t>
      </w:r>
      <w:r>
        <w:rPr/>
        <w:fldChar w:fldCharType="end" w:fldLock="0"/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uppressAutoHyphens w:val="1"/>
        <w:spacing w:line="264" w:lineRule="auto"/>
        <w:ind w:firstLine="567"/>
        <w:jc w:val="both"/>
      </w:pPr>
      <w:r>
        <w:rPr>
          <w:rStyle w:val="Нет A"/>
          <w:rtl w:val="0"/>
          <w:lang w:val="ru-RU"/>
        </w:rPr>
        <w:t xml:space="preserve">Обратиться за справочной информацией по вопросам предоставления государственных и муниципальных услуг в градостроительной сфере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"https://mosoblarh.mosreg.ru/spravochnaya-informaciya-po-voprosam-predostavleniya-gosudarstvennykh-i-municipalnykh-uslug-1"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https://mosoblarh.mosreg.ru/spravochnaya-informaciya-po-voprosam-predostavleniya-gosudarstvennykh-i-municipalnykh-uslug-1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uppressAutoHyphens w:val="1"/>
        <w:spacing w:before="0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464646"/>
          <w:spacing w:val="0"/>
          <w:kern w:val="0"/>
          <w:position w:val="0"/>
          <w:sz w:val="26"/>
          <w:szCs w:val="26"/>
          <w:u w:val="none" w:color="464646"/>
          <w:vertAlign w:val="baseline"/>
          <w14:textFill>
            <w14:solidFill>
              <w14:srgbClr w14:val="464646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suppressAutoHyphens w:val="1"/>
        <w:spacing w:before="0"/>
        <w:rPr>
          <w:rStyle w:val="Нет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464646"/>
          <w:spacing w:val="0"/>
          <w:kern w:val="0"/>
          <w:position w:val="0"/>
          <w:sz w:val="26"/>
          <w:szCs w:val="26"/>
          <w:u w:val="none" w:color="464646"/>
          <w:vertAlign w:val="baseline"/>
          <w14:textFill>
            <w14:solidFill>
              <w14:srgbClr w14:val="464646"/>
            </w14:solidFill>
          </w14:textFill>
        </w:rPr>
      </w:pPr>
    </w:p>
    <w:p>
      <w:pPr>
        <w:pStyle w:val="Normal.0"/>
        <w:suppressAutoHyphens w:val="1"/>
        <w:spacing w:line="360" w:lineRule="auto"/>
        <w:jc w:val="right"/>
        <w:rPr>
          <w:rStyle w:val="Нет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sz w:val="20"/>
          <w:szCs w:val="20"/>
          <w:rtl w:val="0"/>
          <w:lang w:val="ru-RU"/>
        </w:rPr>
        <w:t>Пресс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>служба Комитета по архитектуре и градостроительству Московской области</w:t>
      </w:r>
    </w:p>
    <w:p>
      <w:pPr>
        <w:pStyle w:val="Normal.0"/>
        <w:suppressAutoHyphens w:val="1"/>
        <w:spacing w:line="360" w:lineRule="auto"/>
        <w:jc w:val="right"/>
      </w:pPr>
      <w:r>
        <w:rPr>
          <w:rStyle w:val="Нет"/>
          <w:i w:val="1"/>
          <w:iCs w:val="1"/>
          <w:sz w:val="20"/>
          <w:szCs w:val="20"/>
          <w:rtl w:val="0"/>
          <w:lang w:val="ru-RU"/>
        </w:rPr>
        <w:t xml:space="preserve">+7 498 602-84-70, 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>доб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>. 55063, 55110, http://mosoblarh.mosreg.ru/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  <w:rPr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