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81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94690" cy="6584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АДМИНИСТРАЦИЯ</w:t>
      </w:r>
      <w:bookmarkEnd w:id="0"/>
      <w:bookmarkEnd w:id="1"/>
      <w:bookmarkEnd w:id="2"/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spacing w:val="0"/>
          <w:w w:val="100"/>
          <w:position w:val="0"/>
        </w:rPr>
        <w:t>ОДИНЦОВСКОГО ГОРОДСКОГО ОКРУГА</w:t>
        <w:br/>
        <w:t>МОСКОВСКОЙ ОБЛАСТИ</w:t>
      </w:r>
      <w:bookmarkEnd w:id="0"/>
      <w:bookmarkEnd w:id="1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9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</w:rPr>
        <w:t>ПОСТАНОВЛЕНИЕ</w:t>
        <w:br/>
        <w:t>от 25.02.2022 № 718</w:t>
        <w:br/>
      </w:r>
      <w:r>
        <w:rPr>
          <w:spacing w:val="0"/>
          <w:w w:val="100"/>
          <w:position w:val="0"/>
        </w:rPr>
        <w:t>об установлении публичного сервитута в</w:t>
        <w:br/>
        <w:t xml:space="preserve">порядке главы </w:t>
      </w:r>
      <w:r>
        <w:rPr>
          <w:spacing w:val="0"/>
          <w:w w:val="100"/>
          <w:position w:val="0"/>
        </w:rPr>
        <w:t xml:space="preserve">V.7. </w:t>
      </w:r>
      <w:r>
        <w:rPr>
          <w:spacing w:val="0"/>
          <w:w w:val="100"/>
          <w:position w:val="0"/>
        </w:rPr>
        <w:t>Земельного кодекса</w:t>
        <w:br/>
        <w:t>Российской Федерации по адресу</w:t>
        <w:br/>
        <w:t>(местоположение): Московская область,</w:t>
        <w:br/>
        <w:t>Одинцовский городской округ, д.</w:t>
        <w:br/>
        <w:t>Солманово в пользу Акционерного</w:t>
        <w:br/>
        <w:t>общества «Мособлгаз» в целях размещения</w:t>
        <w:br/>
        <w:t>линейного объекта (Газопровод низкого</w:t>
        <w:br/>
        <w:t>давления Р &lt; 5 кПа по адресу: Московская</w:t>
        <w:br/>
        <w:t>область, Одинцовский городской округ, д.</w:t>
        <w:br/>
        <w:t>Солманово, ул. Вокзальная, д. 1) для</w:t>
        <w:br/>
        <w:t>выполнения мероприятий по договору о</w:t>
        <w:br/>
        <w:t>предоставлении комплексной услуги по</w:t>
        <w:br/>
        <w:t>газификации от 26.07.2021 № 03/3 822-</w:t>
        <w:br/>
        <w:t>Д0495-2021-ком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/>
        <w:ind w:left="160" w:right="0" w:firstLine="700"/>
        <w:jc w:val="both"/>
      </w:pPr>
      <w:r>
        <w:rPr>
          <w:spacing w:val="0"/>
          <w:w w:val="100"/>
          <w:position w:val="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Одинцовский городской округ, учитывая ходатайство Акционерного общества «Мособлгаз» (ИНН 5032292612, ОГРН 1175024034734) от 14.01.2022 № </w:t>
      </w:r>
      <w:r>
        <w:rPr>
          <w:spacing w:val="0"/>
          <w:w w:val="100"/>
          <w:position w:val="0"/>
        </w:rPr>
        <w:t>P001-8312869498-54481472,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spacing w:val="0"/>
          <w:w w:val="100"/>
          <w:position w:val="0"/>
        </w:rPr>
        <w:t>ПОСТАНОВЛЯЮ:</w:t>
      </w:r>
      <w:bookmarkEnd w:id="4"/>
      <w:bookmarkEnd w:id="5"/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0" w:val="left"/>
        </w:tabs>
        <w:bidi w:val="0"/>
        <w:spacing w:before="0"/>
        <w:ind w:left="0" w:right="0" w:firstLine="700"/>
        <w:jc w:val="left"/>
      </w:pPr>
      <w:bookmarkStart w:id="7" w:name="bookmark7"/>
      <w:bookmarkEnd w:id="7"/>
      <w:r>
        <w:rPr>
          <w:spacing w:val="0"/>
          <w:w w:val="100"/>
          <w:position w:val="0"/>
        </w:rPr>
        <w:t xml:space="preserve">Установить публичный сервитут на срок 120 месяцев в отношении части земельного участва с К№ 50:20:0070305:552, в пользу Акционерного общества «Мособлгаз», в целях размещения линейного объекта (Газопровод низкого давления Р &lt; 5 кПа по адресу: Московская область, Одинцовский городской округ, д. Солманово, ул. Вокзальная, д. 1) для </w:t>
      </w:r>
      <w:r>
        <w:rPr>
          <w:spacing w:val="0"/>
          <w:w w:val="100"/>
          <w:position w:val="0"/>
        </w:rPr>
        <w:t>выполнения мероприятий по договору о предоставлении комплексной услуги по газификации от 26.07.2021 № 03/3 822-Д0495-2021-ком, в границах в соответствии с приложением к настоящему Постановлению.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538" w:val="left"/>
          <w:tab w:pos="6470" w:val="left"/>
          <w:tab w:pos="8491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(при возникновении таких обстоятельств) в связи с осуществлением</w:t>
        <w:tab/>
        <w:t>сервитута:</w:t>
        <w:tab/>
        <w:t>3</w:t>
        <w:tab/>
        <w:t>месяца.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Подключение (технологическое присоединение) объекта капитального строительства к сетям газораспределения осуществляется на основании договора о предоставлении комплексной услуги по газификации от 26.07.2021 № 03/3 822-Д0495-2021-ком.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491" w:val="left"/>
        </w:tabs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«Об утверждении Правил охраны газораспределительных</w:t>
        <w:tab/>
        <w:t>сетей».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spacing w:val="0"/>
          <w:w w:val="100"/>
          <w:position w:val="0"/>
        </w:rPr>
        <w:t xml:space="preserve">Акционерное общество «Мособлгаз»: - обязано привести часть земельного участка, указанного в пункте 1 настоящего постановления в состояние, пригодное для использования в соответствии с 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сервитут; - направить в Администрацию Одинцовского городского округа Московской области подготовленные в соответствии с Приложением к настоящему Постановлению сведения о границах публичного сервитута в электронном виде в формате </w:t>
      </w:r>
      <w:r>
        <w:rPr>
          <w:spacing w:val="0"/>
          <w:w w:val="100"/>
          <w:position w:val="0"/>
        </w:rPr>
        <w:t xml:space="preserve">XML </w:t>
      </w:r>
      <w:r>
        <w:rPr>
          <w:spacing w:val="0"/>
          <w:w w:val="100"/>
          <w:position w:val="0"/>
        </w:rPr>
        <w:t>в течении трех рабочих дней с момента принятия настоящего Постановления.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/>
        <w:ind w:left="0" w:right="0" w:firstLine="74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/>
        <w:ind w:left="0" w:right="0" w:firstLine="74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 xml:space="preserve">Администрации в течение 5 рабочих дней опубликовать настоящее Постановление (без приложений)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-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spacing w:val="0"/>
          <w:w w:val="100"/>
          <w:position w:val="0"/>
        </w:rPr>
        <w:t>http://www.odin.ru</w:t>
      </w:r>
      <w:r>
        <w:fldChar w:fldCharType="end"/>
      </w:r>
      <w:r>
        <w:rPr>
          <w:i/>
          <w:iCs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/>
        <w:ind w:left="0" w:right="0" w:firstLine="7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3" w:val="left"/>
        </w:tabs>
        <w:bidi w:val="0"/>
        <w:spacing w:before="0" w:line="326" w:lineRule="auto"/>
        <w:ind w:left="0" w:right="0" w:firstLine="74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  <w:r>
        <w:br w:type="page"/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193" w:val="left"/>
        </w:tabs>
        <w:bidi w:val="0"/>
        <w:spacing w:before="0" w:after="4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21409A"/>
          <w:spacing w:val="0"/>
          <w:w w:val="100"/>
          <w:position w:val="0"/>
          <w:sz w:val="13"/>
          <w:szCs w:val="13"/>
        </w:rPr>
        <w:t>......</w:t>
        <w:tab/>
        <w:t>ДОКУМЕНТ ПОДПИСАН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193" w:val="left"/>
        </w:tabs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9695AB"/>
          <w:spacing w:val="0"/>
          <w:w w:val="100"/>
          <w:position w:val="0"/>
          <w:sz w:val="13"/>
          <w:szCs w:val="13"/>
        </w:rPr>
        <w:t>_</w:t>
      </w:r>
      <w:r>
        <w:rPr>
          <w:rFonts w:ascii="Arial" w:eastAsia="Arial" w:hAnsi="Arial" w:cs="Arial"/>
          <w:color w:val="9695AB"/>
          <w:spacing w:val="0"/>
          <w:w w:val="100"/>
          <w:position w:val="0"/>
          <w:sz w:val="13"/>
          <w:szCs w:val="13"/>
          <w:vertAlign w:val="subscript"/>
        </w:rPr>
        <w:t>г1</w:t>
      </w:r>
      <w:r>
        <w:rPr>
          <w:rFonts w:ascii="Arial" w:eastAsia="Arial" w:hAnsi="Arial" w:cs="Arial"/>
          <w:color w:val="9695AB"/>
          <w:spacing w:val="0"/>
          <w:w w:val="100"/>
          <w:position w:val="0"/>
          <w:sz w:val="13"/>
          <w:szCs w:val="13"/>
        </w:rPr>
        <w:t>,</w:t>
        <w:tab/>
      </w:r>
      <w:r>
        <w:rPr>
          <w:rFonts w:ascii="Arial" w:eastAsia="Arial" w:hAnsi="Arial" w:cs="Arial"/>
          <w:color w:val="21409A"/>
          <w:spacing w:val="0"/>
          <w:w w:val="100"/>
          <w:position w:val="0"/>
          <w:sz w:val="13"/>
          <w:szCs w:val="13"/>
        </w:rPr>
        <w:t>ЭЛЕКТРОННОЙ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646" w:val="left"/>
        </w:tabs>
        <w:bidi w:val="0"/>
        <w:spacing w:before="0" w:after="160" w:line="240" w:lineRule="auto"/>
        <w:ind w:left="0" w:right="0" w:firstLine="0"/>
        <w:jc w:val="center"/>
        <w:rPr>
          <w:sz w:val="13"/>
          <w:szCs w:val="13"/>
        </w:rPr>
      </w:pPr>
      <w:r>
        <w:rPr>
          <w:rFonts w:ascii="Arial" w:eastAsia="Arial" w:hAnsi="Arial" w:cs="Arial"/>
          <w:color w:val="21409A"/>
          <w:spacing w:val="0"/>
          <w:w w:val="100"/>
          <w:position w:val="0"/>
          <w:sz w:val="13"/>
          <w:szCs w:val="13"/>
        </w:rPr>
        <w:t>'АЖ</w:t>
        <w:tab/>
        <w:t>ПОДПИСЬЮ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3320" w:right="0" w:firstLine="0"/>
        <w:jc w:val="left"/>
        <w:rPr>
          <w:sz w:val="15"/>
          <w:szCs w:val="15"/>
        </w:rPr>
      </w:pPr>
      <w:r>
        <w:rPr>
          <w:rFonts w:ascii="Consolas" w:eastAsia="Consolas" w:hAnsi="Consolas" w:cs="Consolas"/>
          <w:color w:val="21409A"/>
          <w:spacing w:val="0"/>
          <w:w w:val="100"/>
          <w:position w:val="0"/>
          <w:sz w:val="15"/>
          <w:szCs w:val="15"/>
        </w:rPr>
        <w:t>Сертификат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0" w:line="226" w:lineRule="auto"/>
        <w:ind w:left="3320" w:right="0" w:firstLine="0"/>
        <w:jc w:val="left"/>
        <w:rPr>
          <w:sz w:val="13"/>
          <w:szCs w:val="13"/>
        </w:rPr>
      </w:pPr>
      <w:r>
        <w:rPr>
          <w:rFonts w:ascii="Consolas" w:eastAsia="Consolas" w:hAnsi="Consolas" w:cs="Consolas"/>
          <w:b/>
          <w:bCs/>
          <w:color w:val="21409A"/>
          <w:spacing w:val="0"/>
          <w:w w:val="100"/>
          <w:position w:val="0"/>
          <w:sz w:val="13"/>
          <w:szCs w:val="13"/>
        </w:rPr>
        <w:t>014240F7D1E778F681EB11F4BD6C4BC69E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0" w:line="218" w:lineRule="auto"/>
        <w:ind w:left="0" w:right="0" w:firstLine="0"/>
        <w:jc w:val="center"/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88900</wp:posOffset>
                </wp:positionV>
                <wp:extent cx="1356360" cy="396240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6360" cy="3962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Глава Одинцовского</w:t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8.549999999999997pt;margin-top:7.pt;width:106.8pt;height:31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Глава Одинцовского</w:t>
                        <w:br/>
                        <w:t>городского округа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5817235</wp:posOffset>
                </wp:positionH>
                <wp:positionV relativeFrom="paragraph">
                  <wp:posOffset>88900</wp:posOffset>
                </wp:positionV>
                <wp:extent cx="804545" cy="20701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58.05000000000001pt;margin-top:7.pt;width:63.350000000000001pt;height:16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Consolas" w:eastAsia="Consolas" w:hAnsi="Consolas" w:cs="Consolas"/>
          <w:color w:val="21409A"/>
          <w:spacing w:val="0"/>
          <w:w w:val="100"/>
          <w:position w:val="0"/>
          <w:sz w:val="15"/>
          <w:szCs w:val="15"/>
        </w:rPr>
        <w:t xml:space="preserve">Владелец </w:t>
      </w:r>
      <w:r>
        <w:rPr>
          <w:rFonts w:ascii="Consolas" w:eastAsia="Consolas" w:hAnsi="Consolas" w:cs="Consolas"/>
          <w:b/>
          <w:bCs/>
          <w:color w:val="21409A"/>
          <w:spacing w:val="0"/>
          <w:w w:val="100"/>
          <w:position w:val="0"/>
          <w:sz w:val="15"/>
          <w:szCs w:val="15"/>
        </w:rPr>
        <w:t>Иванов Андрей Робертович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00" w:line="216" w:lineRule="auto"/>
        <w:ind w:left="680" w:right="0" w:firstLine="0"/>
        <w:jc w:val="left"/>
        <w:rPr>
          <w:sz w:val="15"/>
          <w:szCs w:val="15"/>
        </w:rPr>
      </w:pPr>
      <w:r>
        <w:rPr>
          <w:rFonts w:ascii="Consolas" w:eastAsia="Consolas" w:hAnsi="Consolas" w:cs="Consolas"/>
          <w:b/>
          <w:bCs/>
          <w:color w:val="21409A"/>
          <w:spacing w:val="0"/>
          <w:w w:val="100"/>
          <w:position w:val="0"/>
          <w:sz w:val="15"/>
          <w:szCs w:val="15"/>
        </w:rPr>
        <w:t>ФИО владельца Иванов Андрей Робертович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23" w:lineRule="auto"/>
        <w:ind w:left="3320" w:right="0" w:hanging="2640"/>
        <w:jc w:val="left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009" w:right="930" w:bottom="699" w:left="1664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Consolas" w:eastAsia="Consolas" w:hAnsi="Consolas" w:cs="Consolas"/>
          <w:b/>
          <w:bCs/>
          <w:color w:val="21409A"/>
          <w:spacing w:val="0"/>
          <w:w w:val="100"/>
          <w:position w:val="0"/>
          <w:sz w:val="15"/>
          <w:szCs w:val="15"/>
        </w:rPr>
        <w:t>Действителен с 26.05.2021 по 26.05.2022</w:t>
      </w:r>
    </w:p>
    <w:p>
      <w:pPr>
        <w:pStyle w:val="Style20"/>
        <w:keepNext/>
        <w:keepLines/>
        <w:framePr w:w="12769" w:h="1459" w:wrap="none" w:hAnchor="page" w:x="1039" w:y="2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Схема расположения границ публичного сервитута</w:t>
      </w:r>
      <w:bookmarkEnd w:id="12"/>
      <w:bookmarkEnd w:id="13"/>
      <w:bookmarkEnd w:id="14"/>
    </w:p>
    <w:p>
      <w:pPr>
        <w:pStyle w:val="Style13"/>
        <w:keepNext w:val="0"/>
        <w:keepLines w:val="0"/>
        <w:framePr w:w="12769" w:h="1459" w:wrap="none" w:hAnchor="page" w:x="1039" w:y="2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</w:rPr>
        <w:t xml:space="preserve">Объект: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u w:val="single"/>
        </w:rPr>
        <w:t>Газопровод низкого давления Р&lt; 0,003 МПа, газопровод высокого давления Р&lt; 1,2 МПа с установкой газорегуляторного пункта</w:t>
      </w:r>
    </w:p>
    <w:p>
      <w:pPr>
        <w:pStyle w:val="Style13"/>
        <w:keepNext w:val="0"/>
        <w:keepLines w:val="0"/>
        <w:framePr w:w="12769" w:h="1459" w:wrap="none" w:hAnchor="page" w:x="1039" w:y="2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</w:rPr>
        <w:t xml:space="preserve">Местоположение/кадастровый №: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u w:val="single"/>
        </w:rPr>
        <w:t>Московская область, Одинцовский г.о., д. Солманово к. н. 50:20:0070305:552</w:t>
      </w:r>
    </w:p>
    <w:p>
      <w:pPr>
        <w:pStyle w:val="Style24"/>
        <w:keepNext w:val="0"/>
        <w:keepLines w:val="0"/>
        <w:framePr w:w="4774" w:h="770" w:wrap="none" w:hAnchor="page" w:x="16128" w:y="5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Ведомость вычисления площади земельного участка Система координат - МСК зона 2</w:t>
      </w:r>
    </w:p>
    <w:p>
      <w:pPr>
        <w:pStyle w:val="Style24"/>
        <w:keepNext w:val="0"/>
        <w:keepLines w:val="0"/>
        <w:framePr w:w="4774" w:h="770" w:wrap="none" w:hAnchor="page" w:x="16128" w:y="5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Метод определения координат: аналитический</w:t>
      </w:r>
    </w:p>
    <w:p>
      <w:pPr>
        <w:pStyle w:val="Style13"/>
        <w:keepNext w:val="0"/>
        <w:keepLines w:val="0"/>
        <w:framePr w:w="11644" w:h="244" w:wrap="none" w:hAnchor="page" w:x="518" w:y="21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</w:rPr>
        <w:t>Земельный участок площадью 1655 кв. м для установления публичного сервитута, формируется на земельном участке с кадастровым номером 50:20:0070305:552</w:t>
      </w:r>
    </w:p>
    <w:p>
      <w:pPr>
        <w:pStyle w:val="Style24"/>
        <w:keepNext w:val="0"/>
        <w:keepLines w:val="0"/>
        <w:framePr w:w="235" w:h="301" w:wrap="none" w:hAnchor="page" w:x="8426" w:y="48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12</w:t>
      </w:r>
    </w:p>
    <w:p>
      <w:pPr>
        <w:pStyle w:val="Style24"/>
        <w:keepNext w:val="0"/>
        <w:keepLines w:val="0"/>
        <w:framePr w:w="234" w:h="301" w:wrap="none" w:hAnchor="page" w:x="8158" w:y="5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15</w:t>
      </w:r>
    </w:p>
    <w:p>
      <w:pPr>
        <w:pStyle w:val="Style24"/>
        <w:keepNext w:val="0"/>
        <w:keepLines w:val="0"/>
        <w:framePr w:w="239" w:h="301" w:wrap="none" w:hAnchor="page" w:x="6225" w:y="7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FF0000"/>
          <w:spacing w:val="0"/>
          <w:w w:val="100"/>
          <w:position w:val="0"/>
        </w:rPr>
        <w:t>17</w:t>
      </w:r>
    </w:p>
    <w:p>
      <w:pPr>
        <w:pStyle w:val="Style24"/>
        <w:keepNext w:val="0"/>
        <w:keepLines w:val="0"/>
        <w:framePr w:w="254" w:h="301" w:wrap="none" w:hAnchor="page" w:x="3450" w:y="11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21</w:t>
      </w:r>
    </w:p>
    <w:p>
      <w:pPr>
        <w:pStyle w:val="Style24"/>
        <w:keepNext w:val="0"/>
        <w:keepLines w:val="0"/>
        <w:framePr w:w="254" w:h="301" w:wrap="none" w:hAnchor="page" w:x="3125" w:y="120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22</w:t>
      </w:r>
    </w:p>
    <w:p>
      <w:pPr>
        <w:pStyle w:val="Style24"/>
        <w:keepNext w:val="0"/>
        <w:keepLines w:val="0"/>
        <w:framePr w:w="402" w:h="545" w:wrap="none" w:hAnchor="page" w:x="9053" w:y="36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FF0000"/>
          <w:spacing w:val="0"/>
          <w:w w:val="100"/>
          <w:position w:val="0"/>
        </w:rPr>
        <w:t>0 9</w:t>
      </w:r>
    </w:p>
    <w:p>
      <w:pPr>
        <w:pStyle w:val="Style24"/>
        <w:keepNext w:val="0"/>
        <w:keepLines w:val="0"/>
        <w:framePr w:w="402" w:h="545" w:wrap="none" w:hAnchor="page" w:x="9053" w:y="36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11</w:t>
      </w:r>
    </w:p>
    <w:p>
      <w:pPr>
        <w:pStyle w:val="Style13"/>
        <w:keepNext w:val="0"/>
        <w:keepLines w:val="0"/>
        <w:framePr w:w="2665" w:h="340" w:wrap="none" w:hAnchor="page" w:x="7727" w:y="106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pacing w:val="0"/>
          <w:w w:val="100"/>
          <w:position w:val="0"/>
          <w:sz w:val="24"/>
          <w:szCs w:val="24"/>
          <w:u w:val="single"/>
        </w:rPr>
        <w:t>50:20:0070305:552/ЧЗУ1</w:t>
      </w:r>
    </w:p>
    <w:p>
      <w:pPr>
        <w:pStyle w:val="Style13"/>
        <w:keepNext w:val="0"/>
        <w:keepLines w:val="0"/>
        <w:framePr w:w="2598" w:h="359" w:wrap="none" w:hAnchor="page" w:x="11028" w:y="105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Условные обозначения:</w:t>
      </w:r>
    </w:p>
    <w:p>
      <w:pPr>
        <w:pStyle w:val="Style24"/>
        <w:keepNext w:val="0"/>
        <w:keepLines w:val="0"/>
        <w:framePr w:w="3086" w:h="1009" w:wrap="none" w:hAnchor="page" w:x="12435" w:y="10980"/>
        <w:widowControl w:val="0"/>
        <w:numPr>
          <w:ilvl w:val="0"/>
          <w:numId w:val="3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границы земельных участков по сведениям ЕГРН</w:t>
      </w:r>
    </w:p>
    <w:p>
      <w:pPr>
        <w:pStyle w:val="Style24"/>
        <w:keepNext w:val="0"/>
        <w:keepLines w:val="0"/>
        <w:framePr w:w="3086" w:h="1009" w:wrap="none" w:hAnchor="page" w:x="12435" w:y="10980"/>
        <w:widowControl w:val="0"/>
        <w:numPr>
          <w:ilvl w:val="0"/>
          <w:numId w:val="3"/>
        </w:numPr>
        <w:shd w:val="clear" w:color="auto" w:fill="auto"/>
        <w:tabs>
          <w:tab w:pos="120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границы земельного участка для строительства</w:t>
      </w:r>
    </w:p>
    <w:p>
      <w:pPr>
        <w:pStyle w:val="Style24"/>
        <w:keepNext w:val="0"/>
        <w:keepLines w:val="0"/>
        <w:framePr w:w="2679" w:h="297" w:wrap="none" w:hAnchor="page" w:x="12406" w:y="120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граница земельного участка</w:t>
      </w:r>
    </w:p>
    <w:p>
      <w:pPr>
        <w:pStyle w:val="Style24"/>
        <w:keepNext w:val="0"/>
        <w:keepLines w:val="0"/>
        <w:framePr w:w="1210" w:h="899" w:wrap="none" w:hAnchor="page" w:x="1087" w:y="13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ГЪ/к7-??5</w:t>
      </w:r>
    </w:p>
    <w:p>
      <w:pPr>
        <w:pStyle w:val="Style24"/>
        <w:keepNext w:val="0"/>
        <w:keepLines w:val="0"/>
        <w:framePr w:w="1210" w:h="899" w:wrap="none" w:hAnchor="page" w:x="1087" w:y="13836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 xml:space="preserve">L </w:t>
      </w:r>
      <w:r>
        <w:rPr>
          <w:color w:val="FF0000"/>
          <w:spacing w:val="0"/>
          <w:w w:val="100"/>
          <w:position w:val="0"/>
        </w:rPr>
        <w:t>26</w:t>
      </w:r>
    </w:p>
    <w:p>
      <w:pPr>
        <w:pStyle w:val="Style24"/>
        <w:keepNext w:val="0"/>
        <w:keepLines w:val="0"/>
        <w:framePr w:w="1210" w:h="899" w:wrap="none" w:hAnchor="page" w:x="1087" w:y="13836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&gt;4/ 27</w:t>
      </w:r>
    </w:p>
    <w:p>
      <w:pPr>
        <w:pStyle w:val="Style24"/>
        <w:keepNext w:val="0"/>
        <w:keepLines w:val="0"/>
        <w:framePr w:w="1210" w:h="899" w:wrap="none" w:hAnchor="page" w:x="1087" w:y="13836"/>
        <w:widowControl w:val="0"/>
        <w:shd w:val="clear" w:color="auto" w:fill="auto"/>
        <w:tabs>
          <w:tab w:pos="66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FF0000"/>
          <w:spacing w:val="0"/>
          <w:w w:val="100"/>
          <w:position w:val="0"/>
        </w:rPr>
        <w:t>31</w:t>
        <w:tab/>
      </w:r>
      <w:r>
        <w:rPr>
          <w:color w:val="FF0000"/>
          <w:spacing w:val="0"/>
          <w:w w:val="100"/>
          <w:position w:val="0"/>
          <w:vertAlign w:val="superscript"/>
        </w:rPr>
        <w:t>30</w:t>
      </w:r>
    </w:p>
    <w:p>
      <w:pPr>
        <w:pStyle w:val="Style24"/>
        <w:keepNext w:val="0"/>
        <w:keepLines w:val="0"/>
        <w:framePr w:w="3253" w:h="301" w:wrap="none" w:hAnchor="page" w:x="6646" w:y="160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Система координат: МСК-50 Зона 2</w:t>
      </w:r>
    </w:p>
    <w:tbl>
      <w:tblPr>
        <w:tblOverlap w:val="never"/>
        <w:jc w:val="left"/>
        <w:tblLayout w:type="fixed"/>
      </w:tblPr>
      <w:tblGrid>
        <w:gridCol w:w="2842"/>
        <w:gridCol w:w="1416"/>
        <w:gridCol w:w="1426"/>
      </w:tblGrid>
      <w:tr>
        <w:trPr>
          <w:trHeight w:val="26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Условный номер земельного участка 50:20:0070305:552/ЧЗУ1</w:t>
            </w:r>
          </w:p>
        </w:tc>
      </w:tr>
      <w:tr>
        <w:trPr>
          <w:trHeight w:val="26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Площадь земельного участка 1655 м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</w:rPr>
              <w:t>2</w:t>
            </w:r>
          </w:p>
        </w:tc>
      </w:tr>
      <w:tr>
        <w:trPr>
          <w:trHeight w:val="4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Обозначение характерных точек границ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Координаты, м</w:t>
            </w:r>
          </w:p>
        </w:tc>
      </w:tr>
      <w:tr>
        <w:trPr>
          <w:trHeight w:val="2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5683" w:h="9697" w:wrap="none" w:hAnchor="page" w:x="16281" w:y="194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Y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454339.00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2169895.53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454498.30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2170011.44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454501.55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2170006.62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454508.48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2170011.87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454513.78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2170005.04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454531.61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2170018.85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454524.40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2170028.27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454530.33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2170045.36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454523.32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2170040.26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454520.76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2170033.02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454518.93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2170035.40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454500.99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2170021.65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454505.44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2170015.84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454502.79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2170013.83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454499.56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2170018.54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454449.29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2169981.95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454447.02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2169985.06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454443.80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2169982.69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454446.05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2169979.60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454381.81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2169932.86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454379.43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2169936.15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454376.19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2169933.82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454378.58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2169930.51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454344.09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2169905.41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454341.64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2169908.80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454339.99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2169907.63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454338.56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2169906.23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454340.87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2169903.04</w:t>
            </w:r>
          </w:p>
        </w:tc>
      </w:tr>
      <w:tr>
        <w:trPr>
          <w:trHeight w:val="2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454339.31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2169901.90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454337.14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2169904.89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454334.20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2169902.12</w:t>
            </w:r>
          </w:p>
        </w:tc>
      </w:tr>
      <w:tr>
        <w:trPr>
          <w:trHeight w:val="27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454339.00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83" w:h="9697" w:wrap="none" w:hAnchor="page" w:x="16281" w:y="194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2169895.53</w:t>
            </w:r>
          </w:p>
        </w:tc>
      </w:tr>
    </w:tbl>
    <w:p>
      <w:pPr>
        <w:framePr w:w="5683" w:h="9697" w:wrap="none" w:hAnchor="page" w:x="16281" w:y="1948"/>
        <w:widowControl w:val="0"/>
        <w:spacing w:line="1" w:lineRule="exact"/>
      </w:pPr>
    </w:p>
    <w:p>
      <w:pPr>
        <w:pStyle w:val="Style24"/>
        <w:keepNext w:val="0"/>
        <w:keepLines w:val="0"/>
        <w:framePr w:w="4162" w:h="541" w:wrap="none" w:hAnchor="page" w:x="12363" w:y="124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номер и обозначение характерной точки границы испрашиваемого земельного участка</w:t>
      </w:r>
    </w:p>
    <w:tbl>
      <w:tblPr>
        <w:tblOverlap w:val="never"/>
        <w:jc w:val="left"/>
        <w:tblLayout w:type="fixed"/>
      </w:tblPr>
      <w:tblGrid>
        <w:gridCol w:w="2335"/>
        <w:gridCol w:w="3311"/>
      </w:tblGrid>
      <w:tr>
        <w:trPr>
          <w:trHeight w:val="19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45" w:h="469" w:wrap="none" w:hAnchor="page" w:x="16238" w:y="12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Описание границ смежных землепользователей</w:t>
            </w:r>
          </w:p>
        </w:tc>
      </w:tr>
      <w:tr>
        <w:trPr>
          <w:trHeight w:val="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45" w:h="469" w:wrap="none" w:hAnchor="page" w:x="16238" w:y="12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от 1 до 1 точки 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5645" w:h="469" w:wrap="none" w:hAnchor="page" w:x="16238" w:y="12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50:20:0070305:552</w:t>
            </w:r>
          </w:p>
        </w:tc>
      </w:tr>
    </w:tbl>
    <w:p>
      <w:pPr>
        <w:framePr w:w="5645" w:h="469" w:wrap="none" w:hAnchor="page" w:x="16238" w:y="12023"/>
        <w:widowControl w:val="0"/>
        <w:spacing w:line="1" w:lineRule="exact"/>
      </w:pPr>
    </w:p>
    <w:p>
      <w:pPr>
        <w:pStyle w:val="Style24"/>
        <w:keepNext w:val="0"/>
        <w:keepLines w:val="0"/>
        <w:framePr w:w="5554" w:h="1067" w:wrap="none" w:hAnchor="page" w:x="11287" w:y="13219"/>
        <w:widowControl w:val="0"/>
        <w:shd w:val="clear" w:color="auto" w:fill="auto"/>
        <w:bidi w:val="0"/>
        <w:spacing w:before="0" w:after="0" w:line="240" w:lineRule="auto"/>
        <w:ind w:left="1920" w:right="0" w:hanging="1920"/>
        <w:jc w:val="left"/>
      </w:pPr>
      <w:r>
        <w:rPr>
          <w:color w:val="000000"/>
          <w:spacing w:val="0"/>
          <w:w w:val="100"/>
          <w:position w:val="0"/>
        </w:rPr>
        <w:t>50:00:0000000:425 - кадастровый номер земельного участка, согласно кадастровым сведениям</w:t>
      </w:r>
    </w:p>
    <w:p>
      <w:pPr>
        <w:pStyle w:val="Style24"/>
        <w:keepNext w:val="0"/>
        <w:keepLines w:val="0"/>
        <w:framePr w:w="5554" w:h="1067" w:wrap="none" w:hAnchor="page" w:x="11287" w:y="132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FF0000"/>
          <w:spacing w:val="0"/>
          <w:w w:val="100"/>
          <w:position w:val="0"/>
        </w:rPr>
        <w:t xml:space="preserve">50:00:0000000/ЗУ1 </w:t>
      </w:r>
      <w:r>
        <w:rPr>
          <w:color w:val="000000"/>
          <w:spacing w:val="0"/>
          <w:w w:val="100"/>
          <w:position w:val="0"/>
        </w:rPr>
        <w:t>- условный номер испрашиваемого</w:t>
        <w:br/>
        <w:t>земельного участка</w:t>
      </w:r>
    </w:p>
    <w:p>
      <w:pPr>
        <w:pStyle w:val="Style24"/>
        <w:keepNext w:val="0"/>
        <w:keepLines w:val="0"/>
        <w:framePr w:w="2048" w:h="301" w:wrap="none" w:hAnchor="page" w:x="16473" w:y="147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45454"/>
          <w:spacing w:val="0"/>
          <w:w w:val="100"/>
          <w:position w:val="0"/>
        </w:rPr>
        <w:t>Кадастровый инженер</w:t>
      </w:r>
    </w:p>
    <w:p>
      <w:pPr>
        <w:pStyle w:val="Style24"/>
        <w:keepNext w:val="0"/>
        <w:keepLines w:val="0"/>
        <w:framePr w:w="1421" w:h="301" w:wrap="none" w:hAnchor="page" w:x="21769" w:y="147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545454"/>
          <w:spacing w:val="0"/>
          <w:w w:val="100"/>
          <w:position w:val="0"/>
        </w:rPr>
        <w:t>Вергунова Д.В.</w:t>
      </w:r>
    </w:p>
    <w:p>
      <w:pPr>
        <w:pStyle w:val="Style24"/>
        <w:keepNext w:val="0"/>
        <w:keepLines w:val="0"/>
        <w:framePr w:w="861" w:h="301" w:wrap="none" w:hAnchor="page" w:x="10976" w:y="161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 1:1000</w:t>
      </w:r>
    </w:p>
    <w:p>
      <w:pPr>
        <w:pStyle w:val="Style24"/>
        <w:keepNext w:val="0"/>
        <w:keepLines w:val="0"/>
        <w:framePr w:w="641" w:h="301" w:wrap="none" w:hAnchor="page" w:x="17927" w:y="161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Лист 1</w:t>
      </w:r>
    </w:p>
    <w:p>
      <w:pPr>
        <w:pStyle w:val="Style24"/>
        <w:keepNext w:val="0"/>
        <w:keepLines w:val="0"/>
        <w:framePr w:w="842" w:h="301" w:wrap="none" w:hAnchor="page" w:x="21429" w:y="161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Листов 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14287500</wp:posOffset>
            </wp:positionH>
            <wp:positionV relativeFrom="margin">
              <wp:posOffset>0</wp:posOffset>
            </wp:positionV>
            <wp:extent cx="755650" cy="99949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55650" cy="9994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1551940</wp:posOffset>
            </wp:positionV>
            <wp:extent cx="6382385" cy="764413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382385" cy="76441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11461750</wp:posOffset>
            </wp:positionH>
            <wp:positionV relativeFrom="margin">
              <wp:posOffset>8190230</wp:posOffset>
            </wp:positionV>
            <wp:extent cx="2316480" cy="155448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16480" cy="1554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231" w:right="110" w:bottom="0" w:left="10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character" w:customStyle="1" w:styleId="CharStyle6">
    <w:name w:val="Заголовок №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color w:val="545454"/>
      <w:sz w:val="28"/>
      <w:szCs w:val="28"/>
      <w:u w:val="none"/>
      <w:shd w:val="clear" w:color="auto" w:fill="auto"/>
    </w:rPr>
  </w:style>
  <w:style w:type="character" w:customStyle="1" w:styleId="CharStyle9">
    <w:name w:val="Заголовок №3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CharStyle14">
    <w:name w:val="Другое_"/>
    <w:basedOn w:val="DefaultParagraphFont"/>
    <w:link w:val="Style1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character" w:customStyle="1" w:styleId="CharStyle21">
    <w:name w:val="Заголовок №2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25">
    <w:name w:val="Основной текст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60" w:line="324" w:lineRule="auto"/>
      <w:ind w:firstLine="40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1040" w:line="415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545454"/>
      <w:sz w:val="28"/>
      <w:szCs w:val="28"/>
      <w:u w:val="none"/>
      <w:shd w:val="clear" w:color="auto" w:fill="auto"/>
    </w:rPr>
  </w:style>
  <w:style w:type="paragraph" w:customStyle="1" w:styleId="Style8">
    <w:name w:val="Заголовок №3"/>
    <w:basedOn w:val="Normal"/>
    <w:link w:val="CharStyle9"/>
    <w:pPr>
      <w:widowControl w:val="0"/>
      <w:shd w:val="clear" w:color="auto" w:fill="auto"/>
      <w:spacing w:after="14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auto"/>
      <w:spacing w:after="60" w:line="324" w:lineRule="auto"/>
      <w:ind w:firstLine="40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paragraph" w:customStyle="1" w:styleId="Style20">
    <w:name w:val="Заголовок №2"/>
    <w:basedOn w:val="Normal"/>
    <w:link w:val="CharStyle21"/>
    <w:pPr>
      <w:widowControl w:val="0"/>
      <w:shd w:val="clear" w:color="auto" w:fill="auto"/>
      <w:spacing w:after="480"/>
      <w:ind w:left="536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4">
    <w:name w:val="Основной текст (2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