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Одинцовского городского округа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C4E2E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C4E2E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2022 года № </w:t>
      </w:r>
      <w:r w:rsidR="002C4E2E">
        <w:rPr>
          <w:rFonts w:ascii="Times New Roman" w:hAnsi="Times New Roman" w:cs="Times New Roman"/>
          <w:sz w:val="26"/>
          <w:szCs w:val="26"/>
        </w:rPr>
        <w:t>6353</w:t>
      </w:r>
    </w:p>
    <w:p w:rsidR="00EB563B" w:rsidRPr="000B492C" w:rsidRDefault="00EB563B" w:rsidP="00EB5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1"/>
      <w:bookmarkEnd w:id="0"/>
      <w:r w:rsidRPr="00C32380">
        <w:rPr>
          <w:rFonts w:ascii="Times New Roman" w:hAnsi="Times New Roman" w:cs="Times New Roman"/>
          <w:sz w:val="24"/>
          <w:szCs w:val="24"/>
        </w:rPr>
        <w:t>ИЗВЕЩЕНИЕ</w:t>
      </w: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80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</w:t>
      </w: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80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3238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3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5783"/>
      </w:tblGrid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EB563B" w:rsidRPr="00C32380" w:rsidTr="00EB563B">
        <w:trPr>
          <w:trHeight w:val="2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Предмет электронного аукциона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Одинцовского городского округа Московской области </w:t>
            </w:r>
          </w:p>
          <w:p w:rsidR="00EB563B" w:rsidRPr="00C32380" w:rsidRDefault="00EB563B" w:rsidP="002C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4E2E">
              <w:rPr>
                <w:rFonts w:ascii="Times New Roman" w:hAnsi="Times New Roman" w:cs="Times New Roman"/>
                <w:sz w:val="24"/>
                <w:szCs w:val="24"/>
              </w:rPr>
              <w:t>03.11.2022 № 6353</w:t>
            </w:r>
          </w:p>
        </w:tc>
      </w:tr>
      <w:tr w:rsidR="00EB563B" w:rsidRPr="00C32380" w:rsidTr="00EB56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электронного аукциона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3B" w:rsidRPr="00C32380" w:rsidTr="00EB56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582AA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(почтовый адрес):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 г. Одинцово, ул. Маршала Жукова, д. 28</w:t>
            </w:r>
          </w:p>
        </w:tc>
      </w:tr>
      <w:tr w:rsidR="00EB563B" w:rsidRPr="00C32380" w:rsidTr="00EB56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аукциона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582AA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181-90-00</w:t>
            </w:r>
          </w:p>
        </w:tc>
      </w:tr>
      <w:tr w:rsidR="00EB563B" w:rsidRPr="00C32380" w:rsidTr="00EB56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EB563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a_matitsina@odin.ru</w:t>
            </w:r>
          </w:p>
        </w:tc>
      </w:tr>
      <w:tr w:rsidR="00EB563B" w:rsidRPr="00C32380" w:rsidTr="00EB56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>www.odin.ru</w:t>
            </w:r>
          </w:p>
        </w:tc>
      </w:tr>
      <w:tr w:rsidR="00EB563B" w:rsidRPr="00C32380" w:rsidTr="00EB56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Малахеева Олеся Вячеславовна – начальник отдела защиты прав потребителей Управления развития потребительского рынка и услуг Администрации Одинцовского городского округа Московской области</w:t>
            </w:r>
          </w:p>
        </w:tc>
      </w:tr>
      <w:tr w:rsidR="00EB563B" w:rsidRPr="00C32380" w:rsidTr="00EB56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 об электронном аукционе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</w:p>
        </w:tc>
      </w:tr>
      <w:tr w:rsidR="00EB563B" w:rsidRPr="00C32380" w:rsidTr="00EB56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Адрес Единого портала торгов Московской области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www.rts-tender.ru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56191A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утвержденной постановлением А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Одинцовского городского округа 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05.11.2019 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1328 ( в редакции от 19.07.2022 № 3296)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официальном сайте Одинцовского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hyperlink r:id="rId4" w:history="1">
              <w:r w:rsidRPr="00B039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www.odin.ru</w:t>
              </w:r>
            </w:hyperlink>
          </w:p>
          <w:p w:rsidR="00EB563B" w:rsidRPr="0056191A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электронного аукциона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факта приостановления деятельности в порядке,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предусмотренном </w:t>
            </w:r>
            <w:hyperlink r:id="rId5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 Российской Федерации, на день подачи заявки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характеристиками, указанными в извещении.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</w:t>
            </w:r>
            <w:hyperlink w:anchor="Par521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заявки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по форме, содержащейся в извещении (приложение 1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к Извещению).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участника;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он состоит на учете;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2) обязательство заявителя в случае признания его победителем либо единственным участником электронного аукциона подписать договор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 установленные извещением сроки, а также гарантию заявителя о достоверности представленной информации;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лица действовать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от имени заявителя;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сделки,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и если для заявителя заключение договора, предоставление обеспечения заявки являются крупной сделкой; выписка из Единого государственного реестра юридических лиц, полученная не ранее чем за один месяц до дня размещения извещения; заявление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решения о ликвидации заявителя; заявление об отсутствии решения арбитражного суда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признании заявителя банкротом и об открытии конкурсного производства;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6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правонарушениях.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 документ, подтверждающий право лица действовать от имени заявителя (в случае, если заявку подает представитель заявителя); выписка из Единого государственного реестра индивидуальных предпринимателей, полученная не ранее чем за один месяц до дня размещения извещения;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7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заявление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решения арбитражного суда о признании банкротом и об открытии конкурсного производства.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 случае если электронный аукцион проводится среди субъектов малого и среднего предпринимательства, - документы, подтверждающие принадлежность участника электронного аукциона к указанным субъектам.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</w:t>
            </w:r>
            <w:hyperlink w:anchor="Par555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заявки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по форме, содержащейся в извещении (приложение 2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к извещению).</w:t>
            </w:r>
          </w:p>
          <w:p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язык, в порядке, установленном законодательством Российской Федерации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аукциона вправе отказаться от проведения электронного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не позднее чем за три дня до даты окончания срока подачи заявок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>на участие в электронном аукционе, а именно не позднее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B563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 даче разъяснений положений извещения.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аукциона. В течение одного часа с момента поступления указанного запроса оператор электронной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направляет запрос организатору электронного аукциона.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аукциона размещает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площадке, официальном сайте торгов, сайте организатора, в ЕАСУЗ, а также обеспечивает размещение на ЕПТ разъяснений положений извещения с указанием предмета запроса, но без указания участника электронного аукциона,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от которого поступил указанный запрос, при условии,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>что указанный запрос поступил организатору электронного аукциона не позднее чем за пять дней до даты окончания срока подачи заявок. Разъяснение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не должно изменять его суть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срока предоставления участникам электронного аукциона разъяснений положений извещения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«05»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(лота) устанавливается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Методикой расчета платы за  размещение нестационарного торгового объекта,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Совета депутатов Одинцовского городского округа Московской области от 12.08.2022 № 7/37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85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% от начальной (мин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имальной) цены договора (лота)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C" w:rsidRDefault="008578FC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63B"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азмер задатка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63B" w:rsidRPr="00C32380">
              <w:rPr>
                <w:rFonts w:ascii="Times New Roman" w:hAnsi="Times New Roman" w:cs="Times New Roman"/>
                <w:sz w:val="24"/>
                <w:szCs w:val="24"/>
              </w:rPr>
              <w:t>% от начальной (минимальной) цены договора (лота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Порядок внесения.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аукционе возможно при наличии на лицевом счете заявителя,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осуществлено блокирование операций по счету,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размере не менее чем размер обеспечения заявки, указанный в извещении.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операций по обеспечению участия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электронном аукционе, в отношении денежных средств в размере обеспечения указанной заявки, указанном в извещении.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аукционе, в качестве платы за участие в нем, взимаемой с лица, с которым заключается договор. Данные действия признаются заключением соглашения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 задатке.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аукционе заявителя, подавшего указанную заявку, в отношении денежных средства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размере обеспечения указанной заявки.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аукциона в течение одного рабочего дня со дня подписания протокола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 результатах электронного аукциона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Ограничение в отношении участников электронного аукциона, являющихся субъектами малого и среднего предпринимательства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8578FC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563B" w:rsidRPr="00C32380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на электронной площадке, вправе подать заявку в электронной форме на участие в электронном аукционе в любой момент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электронной площадке извещения до указанных в извещении даты и времени окончания срока подачи заявок на участие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электронном аукционе.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первые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 вторые части заявки. Указанные электронные документы подаются одновременно.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получение с указанием присвоенного ей порядкового номера. Заявитель вправе подать только одну заявку на участие в электронном аукционе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лота.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одним заявителем заявок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 нескольким лотам на каждый лот оформляется отдельная заявка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Заявитель, подавший заявку, вправе отозвать заявку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не позднее даты окончания срока подачи заявок, направив об этом уведомление оператору электронной площадки.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</w:t>
            </w:r>
          </w:p>
          <w:p w:rsidR="00EB563B" w:rsidRPr="00C32380" w:rsidRDefault="00EB563B" w:rsidP="0085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рассмотрения заявок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 xml:space="preserve"> 09 час. 00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о 18 час. 00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</w:t>
            </w:r>
          </w:p>
          <w:p w:rsidR="00EB563B" w:rsidRPr="00C32380" w:rsidRDefault="00EB563B" w:rsidP="0085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Время начала проведения электронного аукциона устанавливается оператором электронной площадки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(лота), и заявка которого соответствует требованиям, установленным в извещении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либо единственного участника электронного аукциона уклонившимся от заключения договора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85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Победитель электронного аукциона либо единственный участник электронного аукциона признается уклонившимся от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договора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до «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г., он не направил организатору электронного аукциона проект договора, подписанный лицом, имеющим право действовать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победителя либо единственного участника такого аукциона, или направил протокол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>разногласий по истечении тринадцати дней с даты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 протокола подведения итогов электронного аукциона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подписывают договор на бумажных носителях.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электронного </w:t>
            </w:r>
            <w:r w:rsidRPr="0075527E">
              <w:rPr>
                <w:rFonts w:ascii="Times New Roman" w:hAnsi="Times New Roman" w:cs="Times New Roman"/>
                <w:sz w:val="24"/>
                <w:szCs w:val="24"/>
              </w:rPr>
              <w:t>аукциона в течение пяти дней со дня размещения протокола подведения итогов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7E">
              <w:rPr>
                <w:rFonts w:ascii="Times New Roman" w:hAnsi="Times New Roman" w:cs="Times New Roman"/>
                <w:sz w:val="24"/>
                <w:szCs w:val="24"/>
              </w:rPr>
              <w:t>Не позднее десяти дней с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аукциона. Договор заключается организатором электронного аукциона либо уполномоченным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им лицом.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аукциона,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EB563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7E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замечаний победителя электронного аукциона, организатор электронного аукциона повторно размещает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тринадцати дней с даты размещения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 протокола подведения итогов электронного аукциона.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договора, организатор электронного аукциона обязан отказаться от заключения договора с победителем электронного аукциона либо единственным участником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 в случае установления факта предоставления таким лицом недостоверных сведений, предусмотренных пунктом 9 извещения.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с победителем электронного аукциона аукционная комиссия в срок не позднее дня, следующего после дня установления факта, являющегося основанием для отказа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аукциона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из которых хранится у организатора электронного аукциона, а второй направляется победителю электронного аукциона (единственному участнику электронного аукциона).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вносит соответствующую информацию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ЕАСУЗ, а также обеспечивает размещение на ЕПТ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следующего дня после подписания указанного протокола. Организатор электронного аукциона 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аукциона.</w:t>
            </w:r>
          </w:p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Договор с единственным участником электронного аукциона заключается в порядке, установленном разделом 24 извещения</w:t>
            </w:r>
          </w:p>
        </w:tc>
      </w:tr>
      <w:tr w:rsidR="00EB563B" w:rsidRPr="00C32380" w:rsidTr="00EB5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EB563B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B563B" w:rsidRPr="000B492C" w:rsidRDefault="00EB563B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>2. Перечень лотов, начальная (минимальная) цена договора</w:t>
      </w:r>
    </w:p>
    <w:p w:rsidR="00EB563B" w:rsidRPr="000B492C" w:rsidRDefault="00EB563B" w:rsidP="00E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t>(лота) по каждому лоту, срок действия договоров</w:t>
      </w:r>
    </w:p>
    <w:p w:rsidR="00EB563B" w:rsidRPr="000B492C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492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3"/>
        <w:gridCol w:w="1234"/>
        <w:gridCol w:w="1234"/>
        <w:gridCol w:w="1234"/>
        <w:gridCol w:w="1234"/>
        <w:gridCol w:w="1234"/>
        <w:gridCol w:w="1234"/>
        <w:gridCol w:w="751"/>
        <w:gridCol w:w="1105"/>
      </w:tblGrid>
      <w:tr w:rsidR="00EB563B" w:rsidTr="007037D2">
        <w:tc>
          <w:tcPr>
            <w:tcW w:w="400" w:type="dxa"/>
            <w:vAlign w:val="center"/>
          </w:tcPr>
          <w:p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1216" w:type="dxa"/>
            <w:vAlign w:val="center"/>
          </w:tcPr>
          <w:p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878" w:type="dxa"/>
            <w:vAlign w:val="center"/>
          </w:tcPr>
          <w:p w:rsidR="00EB563B" w:rsidRPr="008A6AA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811" w:type="dxa"/>
            <w:vAlign w:val="center"/>
          </w:tcPr>
          <w:p w:rsidR="00EB563B" w:rsidRPr="008A6AA8" w:rsidRDefault="00EB563B" w:rsidP="0083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 w:rsidR="008300AA">
              <w:rPr>
                <w:rFonts w:ascii="Times New Roman" w:hAnsi="Times New Roman"/>
              </w:rPr>
              <w:t xml:space="preserve">в т.ч. НДС руб. </w:t>
            </w:r>
          </w:p>
        </w:tc>
      </w:tr>
      <w:tr w:rsidR="00EB563B" w:rsidRPr="00B72FC8" w:rsidTr="007037D2">
        <w:tc>
          <w:tcPr>
            <w:tcW w:w="400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1216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878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811" w:type="dxa"/>
          </w:tcPr>
          <w:p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8578FC" w:rsidRPr="00B72FC8" w:rsidTr="007037D2">
        <w:tc>
          <w:tcPr>
            <w:tcW w:w="400" w:type="dxa"/>
          </w:tcPr>
          <w:p w:rsidR="008578FC" w:rsidRPr="00B72FC8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7037D2" w:rsidRDefault="008578FC" w:rsidP="007037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:rsidR="008578FC" w:rsidRPr="00B72FC8" w:rsidRDefault="008578FC" w:rsidP="007037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Одинцово,     ул. Говорова, около д.9А</w:t>
            </w:r>
          </w:p>
        </w:tc>
        <w:tc>
          <w:tcPr>
            <w:tcW w:w="1216" w:type="dxa"/>
          </w:tcPr>
          <w:p w:rsidR="008578FC" w:rsidRPr="00B72FC8" w:rsidRDefault="007037D2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216" w:type="dxa"/>
          </w:tcPr>
          <w:p w:rsidR="008578FC" w:rsidRPr="00B72FC8" w:rsidRDefault="007037D2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</w:t>
            </w:r>
            <w:r w:rsidR="008578FC" w:rsidRPr="008578FC">
              <w:rPr>
                <w:rFonts w:ascii="Times New Roman" w:hAnsi="Times New Roman"/>
              </w:rPr>
              <w:t xml:space="preserve">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:rsidR="008578FC" w:rsidRPr="00B72FC8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елочный базар</w:t>
            </w:r>
          </w:p>
        </w:tc>
        <w:tc>
          <w:tcPr>
            <w:tcW w:w="1216" w:type="dxa"/>
          </w:tcPr>
          <w:p w:rsidR="008578FC" w:rsidRPr="00B72FC8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продукция</w:t>
            </w:r>
          </w:p>
        </w:tc>
        <w:tc>
          <w:tcPr>
            <w:tcW w:w="1216" w:type="dxa"/>
          </w:tcPr>
          <w:p w:rsidR="008578FC" w:rsidRPr="00B72FC8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78" w:type="dxa"/>
          </w:tcPr>
          <w:p w:rsidR="007037D2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7037D2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2022-31.12.</w:t>
            </w:r>
          </w:p>
          <w:p w:rsidR="008578FC" w:rsidRPr="00B72FC8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11" w:type="dxa"/>
          </w:tcPr>
          <w:p w:rsidR="008578FC" w:rsidRPr="00B72FC8" w:rsidRDefault="008300AA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</w:t>
            </w:r>
            <w:r w:rsidR="008578FC">
              <w:rPr>
                <w:rFonts w:ascii="Times New Roman" w:hAnsi="Times New Roman"/>
              </w:rPr>
              <w:t>00,00</w:t>
            </w:r>
          </w:p>
        </w:tc>
      </w:tr>
    </w:tbl>
    <w:p w:rsidR="00EB563B" w:rsidRPr="00B72FC8" w:rsidRDefault="00EB563B" w:rsidP="00EB56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  <w:sz w:val="20"/>
        </w:rPr>
        <w:t xml:space="preserve">Начальная (минимальная) </w:t>
      </w:r>
      <w:r w:rsidR="007037D2">
        <w:rPr>
          <w:rFonts w:ascii="Times New Roman" w:hAnsi="Times New Roman" w:cs="Times New Roman"/>
          <w:sz w:val="20"/>
        </w:rPr>
        <w:t>цена договора (лота) № 1</w:t>
      </w:r>
      <w:r w:rsidR="008300AA">
        <w:rPr>
          <w:rFonts w:ascii="Times New Roman" w:hAnsi="Times New Roman" w:cs="Times New Roman"/>
          <w:sz w:val="20"/>
        </w:rPr>
        <w:t xml:space="preserve"> составляет</w:t>
      </w:r>
      <w:r w:rsidR="007037D2">
        <w:rPr>
          <w:rFonts w:ascii="Times New Roman" w:hAnsi="Times New Roman" w:cs="Times New Roman"/>
          <w:sz w:val="20"/>
        </w:rPr>
        <w:t xml:space="preserve"> 1</w:t>
      </w:r>
      <w:r w:rsidR="008300AA">
        <w:rPr>
          <w:rFonts w:ascii="Times New Roman" w:hAnsi="Times New Roman" w:cs="Times New Roman"/>
          <w:sz w:val="20"/>
        </w:rPr>
        <w:t>6</w:t>
      </w:r>
      <w:r w:rsidR="007037D2">
        <w:rPr>
          <w:rFonts w:ascii="Times New Roman" w:hAnsi="Times New Roman" w:cs="Times New Roman"/>
          <w:sz w:val="20"/>
        </w:rPr>
        <w:t xml:space="preserve"> </w:t>
      </w:r>
      <w:r w:rsidR="008300AA">
        <w:rPr>
          <w:rFonts w:ascii="Times New Roman" w:hAnsi="Times New Roman" w:cs="Times New Roman"/>
          <w:sz w:val="20"/>
        </w:rPr>
        <w:t>2</w:t>
      </w:r>
      <w:r w:rsidR="007037D2">
        <w:rPr>
          <w:rFonts w:ascii="Times New Roman" w:hAnsi="Times New Roman" w:cs="Times New Roman"/>
          <w:sz w:val="20"/>
        </w:rPr>
        <w:t>00,00 руб. (</w:t>
      </w:r>
      <w:r w:rsidR="008300AA" w:rsidRPr="008300AA">
        <w:rPr>
          <w:rFonts w:ascii="Times New Roman" w:hAnsi="Times New Roman" w:cs="Times New Roman"/>
          <w:sz w:val="20"/>
        </w:rPr>
        <w:t>шестнадцать тысяч двести рублей 00 копеек</w:t>
      </w:r>
      <w:r w:rsidR="007037D2">
        <w:rPr>
          <w:rFonts w:ascii="Times New Roman" w:hAnsi="Times New Roman" w:cs="Times New Roman"/>
          <w:sz w:val="20"/>
        </w:rPr>
        <w:t>)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«Шаг аукциона» по лоту № 1 - </w:t>
      </w:r>
      <w:r w:rsid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810</w:t>
      </w:r>
      <w:r w:rsid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,00</w:t>
      </w:r>
      <w:r w:rsidR="007037D2"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(</w:t>
      </w:r>
      <w:r w:rsidR="008300AA" w:rsidRP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восемьсот десять рублей 00 копеек</w:t>
      </w:r>
      <w:r w:rsidR="007037D2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1 - </w:t>
      </w:r>
      <w:r w:rsid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1 620</w:t>
      </w:r>
      <w:r w:rsid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,00</w:t>
      </w:r>
      <w:r w:rsidR="007037D2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8300AA" w:rsidRP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шестьсот двадцать рублей 00 копеек</w:t>
      </w:r>
      <w:r w:rsid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7037D2"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00AA" w:rsidRDefault="008300AA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00AA" w:rsidRDefault="008300AA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00AA" w:rsidRDefault="008300AA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563B" w:rsidRDefault="00EB563B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7D2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7037D2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92"/>
        <w:gridCol w:w="1536"/>
        <w:gridCol w:w="1175"/>
        <w:gridCol w:w="1175"/>
        <w:gridCol w:w="1175"/>
        <w:gridCol w:w="1175"/>
        <w:gridCol w:w="1175"/>
        <w:gridCol w:w="807"/>
        <w:gridCol w:w="1053"/>
      </w:tblGrid>
      <w:tr w:rsidR="007037D2" w:rsidTr="007037D2">
        <w:tc>
          <w:tcPr>
            <w:tcW w:w="393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530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518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498" w:type="dxa"/>
            <w:vAlign w:val="center"/>
          </w:tcPr>
          <w:p w:rsidR="007037D2" w:rsidRPr="008A6AA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48" w:type="dxa"/>
            <w:vAlign w:val="center"/>
          </w:tcPr>
          <w:p w:rsidR="008300AA" w:rsidRDefault="007037D2" w:rsidP="0083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Начальная (минимальная) цена дого</w:t>
            </w:r>
            <w:r w:rsidR="008300AA">
              <w:rPr>
                <w:rFonts w:ascii="Times New Roman" w:hAnsi="Times New Roman"/>
              </w:rPr>
              <w:t>вора (цена лота), в т.ч. НДС</w:t>
            </w:r>
          </w:p>
          <w:p w:rsidR="007037D2" w:rsidRPr="008A6AA8" w:rsidRDefault="008300AA" w:rsidP="0083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руб. </w:t>
            </w:r>
          </w:p>
        </w:tc>
      </w:tr>
      <w:tr w:rsidR="007037D2" w:rsidRPr="00B72FC8" w:rsidTr="007037D2">
        <w:tc>
          <w:tcPr>
            <w:tcW w:w="393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51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49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4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7037D2" w:rsidRPr="00B72FC8" w:rsidTr="007037D2">
        <w:tc>
          <w:tcPr>
            <w:tcW w:w="393" w:type="dxa"/>
          </w:tcPr>
          <w:p w:rsidR="007037D2" w:rsidRPr="00B72FC8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7037D2" w:rsidRDefault="007037D2" w:rsidP="00703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:rsidR="007037D2" w:rsidRDefault="007037D2" w:rsidP="00703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Одинцово,     ул.Интернациональная, </w:t>
            </w:r>
          </w:p>
          <w:p w:rsidR="007037D2" w:rsidRPr="00CB1AB3" w:rsidRDefault="007037D2" w:rsidP="00703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около д.1</w:t>
            </w:r>
          </w:p>
        </w:tc>
        <w:tc>
          <w:tcPr>
            <w:tcW w:w="1169" w:type="dxa"/>
          </w:tcPr>
          <w:p w:rsidR="007037D2" w:rsidRPr="00B72FC8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69" w:type="dxa"/>
          </w:tcPr>
          <w:p w:rsidR="007037D2" w:rsidRPr="00B72FC8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169" w:type="dxa"/>
          </w:tcPr>
          <w:p w:rsidR="007037D2" w:rsidRPr="00B72FC8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елочный базар</w:t>
            </w:r>
          </w:p>
        </w:tc>
        <w:tc>
          <w:tcPr>
            <w:tcW w:w="1169" w:type="dxa"/>
          </w:tcPr>
          <w:p w:rsidR="007037D2" w:rsidRPr="00B72FC8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продукция</w:t>
            </w:r>
          </w:p>
        </w:tc>
        <w:tc>
          <w:tcPr>
            <w:tcW w:w="518" w:type="dxa"/>
          </w:tcPr>
          <w:p w:rsidR="007037D2" w:rsidRPr="00B72FC8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8" w:type="dxa"/>
          </w:tcPr>
          <w:p w:rsidR="007037D2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7037D2" w:rsidRPr="00B72FC8" w:rsidRDefault="007037D2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2022-31.12.2022</w:t>
            </w:r>
          </w:p>
        </w:tc>
        <w:tc>
          <w:tcPr>
            <w:tcW w:w="1048" w:type="dxa"/>
          </w:tcPr>
          <w:p w:rsidR="007037D2" w:rsidRPr="00B72FC8" w:rsidRDefault="008300AA" w:rsidP="00703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</w:t>
            </w:r>
            <w:r w:rsidR="007037D2">
              <w:rPr>
                <w:rFonts w:ascii="Times New Roman" w:hAnsi="Times New Roman"/>
              </w:rPr>
              <w:t>,00</w:t>
            </w:r>
          </w:p>
        </w:tc>
      </w:tr>
    </w:tbl>
    <w:p w:rsidR="007037D2" w:rsidRPr="00B72FC8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  <w:sz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</w:rPr>
        <w:t>цена договора (лота) № 2 составляет 16 200,00 руб. (</w:t>
      </w:r>
      <w:r w:rsidRPr="008300AA">
        <w:rPr>
          <w:rFonts w:ascii="Times New Roman" w:hAnsi="Times New Roman" w:cs="Times New Roman"/>
          <w:sz w:val="20"/>
        </w:rPr>
        <w:t>шестнадцать тысяч двести рублей 00 копеек</w:t>
      </w:r>
      <w:r>
        <w:rPr>
          <w:rFonts w:ascii="Times New Roman" w:hAnsi="Times New Roman" w:cs="Times New Roman"/>
          <w:sz w:val="20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«Шаг аукциона» по лоту № 2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810,00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восемьсот десять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2</w:t>
      </w:r>
      <w:r w:rsidRP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1 620,00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шестьсот двадцать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0AA" w:rsidRDefault="008300AA" w:rsidP="007037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037D2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:rsidR="007037D2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1"/>
        <w:gridCol w:w="1222"/>
        <w:gridCol w:w="1222"/>
        <w:gridCol w:w="1222"/>
        <w:gridCol w:w="1222"/>
        <w:gridCol w:w="1222"/>
        <w:gridCol w:w="1222"/>
        <w:gridCol w:w="836"/>
        <w:gridCol w:w="1094"/>
      </w:tblGrid>
      <w:tr w:rsidR="007037D2" w:rsidTr="00E433C9">
        <w:tc>
          <w:tcPr>
            <w:tcW w:w="393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530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518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498" w:type="dxa"/>
            <w:vAlign w:val="center"/>
          </w:tcPr>
          <w:p w:rsidR="007037D2" w:rsidRPr="008A6AA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48" w:type="dxa"/>
            <w:vAlign w:val="center"/>
          </w:tcPr>
          <w:p w:rsidR="007037D2" w:rsidRPr="008A6AA8" w:rsidRDefault="007037D2" w:rsidP="0083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 w:rsidR="008300AA">
              <w:rPr>
                <w:rFonts w:ascii="Times New Roman" w:hAnsi="Times New Roman"/>
              </w:rPr>
              <w:t>в т.ч. НДС руб.</w:t>
            </w:r>
          </w:p>
        </w:tc>
      </w:tr>
      <w:tr w:rsidR="007037D2" w:rsidRPr="00B72FC8" w:rsidTr="00E433C9">
        <w:tc>
          <w:tcPr>
            <w:tcW w:w="393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51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49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4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7037D2" w:rsidRPr="00B72FC8" w:rsidTr="00E433C9">
        <w:tc>
          <w:tcPr>
            <w:tcW w:w="393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7037D2" w:rsidRPr="00CB1AB3" w:rsidRDefault="007037D2" w:rsidP="00E433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  <w:r>
              <w:rPr>
                <w:rFonts w:ascii="Times New Roman" w:hAnsi="Times New Roman"/>
                <w:color w:val="000000"/>
              </w:rPr>
              <w:t>г. Одинцово,     ул. Маршала Неделина, около д.9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елочный базар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продукция</w:t>
            </w:r>
          </w:p>
        </w:tc>
        <w:tc>
          <w:tcPr>
            <w:tcW w:w="51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8" w:type="dxa"/>
          </w:tcPr>
          <w:p w:rsidR="007037D2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2022-31.12.2022</w:t>
            </w:r>
          </w:p>
        </w:tc>
        <w:tc>
          <w:tcPr>
            <w:tcW w:w="1048" w:type="dxa"/>
          </w:tcPr>
          <w:p w:rsidR="007037D2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</w:t>
            </w:r>
            <w:r w:rsidR="007037D2">
              <w:rPr>
                <w:rFonts w:ascii="Times New Roman" w:hAnsi="Times New Roman"/>
              </w:rPr>
              <w:t>,00</w:t>
            </w:r>
          </w:p>
        </w:tc>
      </w:tr>
    </w:tbl>
    <w:p w:rsidR="007037D2" w:rsidRPr="00B72FC8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  <w:sz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</w:rPr>
        <w:t>цена договора (лота) № 3 составляет 16 200,00 руб. (</w:t>
      </w:r>
      <w:r w:rsidRPr="008300AA">
        <w:rPr>
          <w:rFonts w:ascii="Times New Roman" w:hAnsi="Times New Roman" w:cs="Times New Roman"/>
          <w:sz w:val="20"/>
        </w:rPr>
        <w:t>шестнадцать тысяч двести рублей 00 копеек</w:t>
      </w:r>
      <w:r>
        <w:rPr>
          <w:rFonts w:ascii="Times New Roman" w:hAnsi="Times New Roman" w:cs="Times New Roman"/>
          <w:sz w:val="20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«Шаг аукциона» по лоту № 3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810,00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восемьсот десять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3</w:t>
      </w:r>
      <w:r w:rsidRP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1 620,00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шестьсот двадцать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7037D2" w:rsidRDefault="007037D2" w:rsidP="007037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00AA" w:rsidRDefault="008300AA" w:rsidP="007037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D2" w:rsidRDefault="007037D2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D2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4</w:t>
      </w:r>
    </w:p>
    <w:p w:rsidR="007037D2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1"/>
        <w:gridCol w:w="1222"/>
        <w:gridCol w:w="1222"/>
        <w:gridCol w:w="1222"/>
        <w:gridCol w:w="1222"/>
        <w:gridCol w:w="1222"/>
        <w:gridCol w:w="1222"/>
        <w:gridCol w:w="836"/>
        <w:gridCol w:w="1094"/>
      </w:tblGrid>
      <w:tr w:rsidR="007037D2" w:rsidTr="00E433C9">
        <w:tc>
          <w:tcPr>
            <w:tcW w:w="393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530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518" w:type="dxa"/>
            <w:vAlign w:val="center"/>
          </w:tcPr>
          <w:p w:rsidR="007037D2" w:rsidRPr="00A649F5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498" w:type="dxa"/>
            <w:vAlign w:val="center"/>
          </w:tcPr>
          <w:p w:rsidR="007037D2" w:rsidRPr="008A6AA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48" w:type="dxa"/>
            <w:vAlign w:val="center"/>
          </w:tcPr>
          <w:p w:rsidR="007037D2" w:rsidRPr="008A6AA8" w:rsidRDefault="007037D2" w:rsidP="0083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Начальная (минимальн</w:t>
            </w:r>
            <w:r w:rsidR="008300AA">
              <w:rPr>
                <w:rFonts w:ascii="Times New Roman" w:hAnsi="Times New Roman"/>
              </w:rPr>
              <w:t xml:space="preserve">ая) цена договора (цена лота), в т.ч. НДС руб. </w:t>
            </w:r>
          </w:p>
        </w:tc>
      </w:tr>
      <w:tr w:rsidR="007037D2" w:rsidRPr="00B72FC8" w:rsidTr="00E433C9">
        <w:tc>
          <w:tcPr>
            <w:tcW w:w="393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51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49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4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7037D2" w:rsidRPr="00B72FC8" w:rsidTr="00E433C9">
        <w:tc>
          <w:tcPr>
            <w:tcW w:w="393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8300AA" w:rsidRDefault="008300AA" w:rsidP="00E43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:rsidR="007037D2" w:rsidRPr="00CB1AB3" w:rsidRDefault="008300AA" w:rsidP="00E433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Барвиха, вблизи ФОК «Барвиха»</w:t>
            </w:r>
          </w:p>
        </w:tc>
        <w:tc>
          <w:tcPr>
            <w:tcW w:w="1169" w:type="dxa"/>
          </w:tcPr>
          <w:p w:rsidR="007037D2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елочный базар</w:t>
            </w:r>
          </w:p>
        </w:tc>
        <w:tc>
          <w:tcPr>
            <w:tcW w:w="1169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продукция</w:t>
            </w:r>
          </w:p>
        </w:tc>
        <w:tc>
          <w:tcPr>
            <w:tcW w:w="518" w:type="dxa"/>
          </w:tcPr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8" w:type="dxa"/>
          </w:tcPr>
          <w:p w:rsidR="007037D2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7037D2" w:rsidRPr="00B72FC8" w:rsidRDefault="007037D2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2022-31.12.2022</w:t>
            </w:r>
          </w:p>
        </w:tc>
        <w:tc>
          <w:tcPr>
            <w:tcW w:w="1048" w:type="dxa"/>
          </w:tcPr>
          <w:p w:rsidR="007037D2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</w:t>
            </w:r>
            <w:r w:rsidR="007037D2">
              <w:rPr>
                <w:rFonts w:ascii="Times New Roman" w:hAnsi="Times New Roman"/>
              </w:rPr>
              <w:t>,00</w:t>
            </w:r>
          </w:p>
        </w:tc>
      </w:tr>
    </w:tbl>
    <w:p w:rsidR="007037D2" w:rsidRPr="00B72FC8" w:rsidRDefault="007037D2" w:rsidP="00703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  <w:sz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</w:rPr>
        <w:t>цена договора (лота) № 4 составляет 16 200,00 руб. (</w:t>
      </w:r>
      <w:r w:rsidRPr="008300AA">
        <w:rPr>
          <w:rFonts w:ascii="Times New Roman" w:hAnsi="Times New Roman" w:cs="Times New Roman"/>
          <w:sz w:val="20"/>
        </w:rPr>
        <w:t>шестнадцать тысяч двести рублей 00 копеек</w:t>
      </w:r>
      <w:r>
        <w:rPr>
          <w:rFonts w:ascii="Times New Roman" w:hAnsi="Times New Roman" w:cs="Times New Roman"/>
          <w:sz w:val="20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«Шаг аукциона» по лоту № 4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810,00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восемьсот десять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4</w:t>
      </w:r>
      <w:r w:rsidRP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1 620,00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шестьсот двадцать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5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1"/>
        <w:gridCol w:w="1222"/>
        <w:gridCol w:w="1222"/>
        <w:gridCol w:w="1222"/>
        <w:gridCol w:w="1222"/>
        <w:gridCol w:w="1222"/>
        <w:gridCol w:w="1222"/>
        <w:gridCol w:w="836"/>
        <w:gridCol w:w="1094"/>
      </w:tblGrid>
      <w:tr w:rsidR="008300AA" w:rsidTr="00E433C9">
        <w:tc>
          <w:tcPr>
            <w:tcW w:w="393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530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169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169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518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498" w:type="dxa"/>
            <w:vAlign w:val="center"/>
          </w:tcPr>
          <w:p w:rsidR="008300AA" w:rsidRPr="008A6AA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48" w:type="dxa"/>
            <w:vAlign w:val="center"/>
          </w:tcPr>
          <w:p w:rsidR="008300AA" w:rsidRPr="008A6AA8" w:rsidRDefault="008300AA" w:rsidP="0083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т.ч. НДС руб. </w:t>
            </w:r>
          </w:p>
        </w:tc>
      </w:tr>
      <w:tr w:rsidR="008300AA" w:rsidRPr="00B72FC8" w:rsidTr="00E433C9">
        <w:tc>
          <w:tcPr>
            <w:tcW w:w="393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518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498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48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8300AA" w:rsidRPr="00B72FC8" w:rsidTr="00E433C9">
        <w:tc>
          <w:tcPr>
            <w:tcW w:w="393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8300AA" w:rsidRPr="00CB1AB3" w:rsidRDefault="008300AA" w:rsidP="00E433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территориальное управление Успенское, </w:t>
            </w:r>
            <w:r>
              <w:rPr>
                <w:rFonts w:ascii="Times New Roman" w:hAnsi="Times New Roman"/>
                <w:color w:val="000000"/>
              </w:rPr>
              <w:t>п. Сосны, около д.21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елочный базар</w:t>
            </w:r>
          </w:p>
        </w:tc>
        <w:tc>
          <w:tcPr>
            <w:tcW w:w="1169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продукция</w:t>
            </w:r>
          </w:p>
        </w:tc>
        <w:tc>
          <w:tcPr>
            <w:tcW w:w="518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98" w:type="dxa"/>
          </w:tcPr>
          <w:p w:rsidR="008300AA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2022-31.12.2022</w:t>
            </w:r>
          </w:p>
        </w:tc>
        <w:tc>
          <w:tcPr>
            <w:tcW w:w="1048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16 200,00</w:t>
            </w:r>
          </w:p>
        </w:tc>
      </w:tr>
    </w:tbl>
    <w:p w:rsidR="008300AA" w:rsidRPr="00B72FC8" w:rsidRDefault="008300AA" w:rsidP="008300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  <w:sz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</w:rPr>
        <w:t>цена договора (лота) № 5 составляет 16 200,00 руб. (</w:t>
      </w:r>
      <w:r w:rsidRPr="008300AA">
        <w:rPr>
          <w:rFonts w:ascii="Times New Roman" w:hAnsi="Times New Roman" w:cs="Times New Roman"/>
          <w:sz w:val="20"/>
        </w:rPr>
        <w:t>шестнадцать тысяч двести рублей 00 копеек</w:t>
      </w:r>
      <w:r>
        <w:rPr>
          <w:rFonts w:ascii="Times New Roman" w:hAnsi="Times New Roman" w:cs="Times New Roman"/>
          <w:sz w:val="20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«Шаг аукциона» по лоту № 5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810,00</w:t>
      </w:r>
      <w:r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восемьсот десять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5</w:t>
      </w:r>
      <w:r w:rsidRP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1 620,00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шестьсот двадцать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6</w:t>
      </w: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1"/>
        <w:gridCol w:w="1222"/>
        <w:gridCol w:w="1222"/>
        <w:gridCol w:w="1222"/>
        <w:gridCol w:w="1222"/>
        <w:gridCol w:w="1222"/>
        <w:gridCol w:w="1222"/>
        <w:gridCol w:w="836"/>
        <w:gridCol w:w="1094"/>
      </w:tblGrid>
      <w:tr w:rsidR="008300AA" w:rsidTr="008300AA">
        <w:tc>
          <w:tcPr>
            <w:tcW w:w="401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22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22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22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22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22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1222" w:type="dxa"/>
            <w:vAlign w:val="center"/>
          </w:tcPr>
          <w:p w:rsidR="008300AA" w:rsidRPr="00A649F5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836" w:type="dxa"/>
            <w:vAlign w:val="center"/>
          </w:tcPr>
          <w:p w:rsidR="008300AA" w:rsidRPr="008A6AA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94" w:type="dxa"/>
            <w:vAlign w:val="center"/>
          </w:tcPr>
          <w:p w:rsidR="008300AA" w:rsidRPr="008A6AA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Начальная (минимальная) цена договора (цена лота), без НДС руб. *</w:t>
            </w:r>
          </w:p>
        </w:tc>
      </w:tr>
      <w:tr w:rsidR="008300AA" w:rsidRPr="00B72FC8" w:rsidTr="008300AA">
        <w:tc>
          <w:tcPr>
            <w:tcW w:w="401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94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8300AA" w:rsidRPr="00B72FC8" w:rsidTr="008300AA">
        <w:tc>
          <w:tcPr>
            <w:tcW w:w="401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2" w:type="dxa"/>
          </w:tcPr>
          <w:p w:rsidR="008300AA" w:rsidRPr="00CB1AB3" w:rsidRDefault="008300AA" w:rsidP="00E433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территориальное управление Успенское,   </w:t>
            </w:r>
            <w:r>
              <w:rPr>
                <w:rFonts w:ascii="Times New Roman" w:hAnsi="Times New Roman"/>
                <w:color w:val="000000"/>
              </w:rPr>
              <w:t>п. Конезавода, около д.62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елочный базар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елочная продукция</w:t>
            </w:r>
          </w:p>
        </w:tc>
        <w:tc>
          <w:tcPr>
            <w:tcW w:w="1222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6" w:type="dxa"/>
          </w:tcPr>
          <w:p w:rsidR="008300AA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2022-31.12.2022</w:t>
            </w:r>
          </w:p>
        </w:tc>
        <w:tc>
          <w:tcPr>
            <w:tcW w:w="1094" w:type="dxa"/>
          </w:tcPr>
          <w:p w:rsidR="008300AA" w:rsidRPr="00B72FC8" w:rsidRDefault="008300AA" w:rsidP="00E4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16 200,00</w:t>
            </w:r>
          </w:p>
        </w:tc>
      </w:tr>
    </w:tbl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300AA" w:rsidRDefault="008300AA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2">
        <w:rPr>
          <w:rFonts w:ascii="Times New Roman" w:hAnsi="Times New Roman" w:cs="Times New Roman"/>
          <w:sz w:val="20"/>
        </w:rPr>
        <w:t xml:space="preserve">Начальная (минимальная) </w:t>
      </w:r>
      <w:r w:rsidR="00292875">
        <w:rPr>
          <w:rFonts w:ascii="Times New Roman" w:hAnsi="Times New Roman" w:cs="Times New Roman"/>
          <w:sz w:val="20"/>
        </w:rPr>
        <w:t>цена договора (лота) № 6</w:t>
      </w:r>
      <w:r>
        <w:rPr>
          <w:rFonts w:ascii="Times New Roman" w:hAnsi="Times New Roman" w:cs="Times New Roman"/>
          <w:sz w:val="20"/>
        </w:rPr>
        <w:t xml:space="preserve"> составляет 16 200,00 руб. (</w:t>
      </w:r>
      <w:r w:rsidRPr="008300AA">
        <w:rPr>
          <w:rFonts w:ascii="Times New Roman" w:hAnsi="Times New Roman" w:cs="Times New Roman"/>
          <w:sz w:val="20"/>
        </w:rPr>
        <w:t>шестнадцать тысяч двести рублей 00 копеек</w:t>
      </w:r>
      <w:r>
        <w:rPr>
          <w:rFonts w:ascii="Times New Roman" w:hAnsi="Times New Roman" w:cs="Times New Roman"/>
          <w:sz w:val="20"/>
        </w:rPr>
        <w:t>)</w:t>
      </w:r>
    </w:p>
    <w:p w:rsidR="008300AA" w:rsidRDefault="00292875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«Шаг аукциона» по лоту № 6</w:t>
      </w:r>
      <w:r w:rsidR="008300AA"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r w:rsid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810,00</w:t>
      </w:r>
      <w:r w:rsidR="008300AA" w:rsidRPr="007037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(</w:t>
      </w:r>
      <w:r w:rsidR="008300AA" w:rsidRPr="008300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восемьсот десять рублей 00 копеек</w:t>
      </w:r>
      <w:r w:rsidR="008300A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8300AA" w:rsidRDefault="00292875" w:rsidP="00830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6</w:t>
      </w:r>
      <w:r w:rsidR="008300AA" w:rsidRPr="007037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r w:rsid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1 620,00</w:t>
      </w:r>
      <w:r w:rsidR="008300A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8300AA" w:rsidRP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шестьсот двадцать рублей 00 копеек</w:t>
      </w:r>
      <w:r w:rsidR="00830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8300AA"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578FC" w:rsidRDefault="008578FC" w:rsidP="008578F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578FC" w:rsidRDefault="008578FC" w:rsidP="00857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0AA" w:rsidRDefault="008300AA" w:rsidP="00857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0AA" w:rsidRDefault="008300AA" w:rsidP="00857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0AA" w:rsidRDefault="008300AA" w:rsidP="00857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8FC" w:rsidRDefault="008578FC" w:rsidP="008578F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578FC" w:rsidRPr="00B20F25" w:rsidRDefault="008578FC" w:rsidP="008578F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П.В. Кондрацкий</w:t>
      </w:r>
    </w:p>
    <w:p w:rsidR="00EB563B" w:rsidRPr="000B492C" w:rsidRDefault="00EB563B" w:rsidP="00EB563B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B563B" w:rsidRPr="000B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B"/>
    <w:rsid w:val="00010D40"/>
    <w:rsid w:val="00106EE9"/>
    <w:rsid w:val="00292875"/>
    <w:rsid w:val="002C4E2E"/>
    <w:rsid w:val="004425A0"/>
    <w:rsid w:val="004858C9"/>
    <w:rsid w:val="007037D2"/>
    <w:rsid w:val="008300AA"/>
    <w:rsid w:val="008578FC"/>
    <w:rsid w:val="00990F8D"/>
    <w:rsid w:val="00B75267"/>
    <w:rsid w:val="00E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AD4"/>
  <w15:chartTrackingRefBased/>
  <w15:docId w15:val="{9925AB87-E816-4825-9A7A-B0B5DE3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3B"/>
  </w:style>
  <w:style w:type="paragraph" w:styleId="1">
    <w:name w:val="heading 1"/>
    <w:basedOn w:val="a"/>
    <w:link w:val="10"/>
    <w:uiPriority w:val="9"/>
    <w:qFormat/>
    <w:rsid w:val="00EB5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B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563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B5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4"/>
    <w:uiPriority w:val="59"/>
    <w:rsid w:val="00EB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434608263B35A1D307ACE0739CDACBE6E029D6C23AE3D28303189B8F783D6D17D4C31554E3EA59B4527D879Fv8U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34608263B35A1D307ACE0739CDACBE6E029D6C23AE3D28303189B8F783D6D17D4C31554E3EA59B4527D879Fv8UEM" TargetMode="External"/><Relationship Id="rId5" Type="http://schemas.openxmlformats.org/officeDocument/2006/relationships/hyperlink" Target="consultantplus://offline/ref=89434608263B35A1D307ACE0739CDACBE6E029D6C23AE3D28303189B8F783D6D17D4C31554E3EA59B4527D879Fv8UEM" TargetMode="External"/><Relationship Id="rId4" Type="http://schemas.openxmlformats.org/officeDocument/2006/relationships/hyperlink" Target="http://www.od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Евгений Александрович</dc:creator>
  <cp:keywords/>
  <dc:description/>
  <cp:lastModifiedBy>Лазарев Евгений Александрович</cp:lastModifiedBy>
  <cp:revision>3</cp:revision>
  <cp:lastPrinted>2022-11-02T14:27:00Z</cp:lastPrinted>
  <dcterms:created xsi:type="dcterms:W3CDTF">2022-11-02T13:36:00Z</dcterms:created>
  <dcterms:modified xsi:type="dcterms:W3CDTF">2022-11-03T11:57:00Z</dcterms:modified>
</cp:coreProperties>
</file>