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9E" w:rsidRPr="00E8289E" w:rsidRDefault="00E8289E" w:rsidP="00E8289E">
      <w:pPr>
        <w:widowControl w:val="0"/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autoSpaceDE w:val="0"/>
        <w:autoSpaceDN w:val="0"/>
        <w:adjustRightInd w:val="0"/>
        <w:spacing w:after="0" w:line="240" w:lineRule="auto"/>
        <w:ind w:left="4248" w:firstLine="851"/>
        <w:contextualSpacing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Утвержден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autoSpaceDE w:val="0"/>
        <w:autoSpaceDN w:val="0"/>
        <w:adjustRightInd w:val="0"/>
        <w:spacing w:after="0" w:line="240" w:lineRule="auto"/>
        <w:ind w:left="4248" w:firstLine="851"/>
        <w:contextualSpacing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решением Совета депутатов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autoSpaceDE w:val="0"/>
        <w:autoSpaceDN w:val="0"/>
        <w:adjustRightInd w:val="0"/>
        <w:spacing w:after="0" w:line="240" w:lineRule="auto"/>
        <w:ind w:left="4248" w:firstLine="851"/>
        <w:contextualSpacing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Одинцовского муниципального района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autoSpaceDE w:val="0"/>
        <w:autoSpaceDN w:val="0"/>
        <w:adjustRightInd w:val="0"/>
        <w:spacing w:after="0" w:line="240" w:lineRule="auto"/>
        <w:ind w:left="4248" w:firstLine="851"/>
        <w:contextualSpacing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Московской  области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от «____» _________ 2014 № ____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right="-483" w:firstLine="39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right="-483"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8289E" w:rsidRPr="00E8289E" w:rsidRDefault="00E8289E" w:rsidP="00E8289E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89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ПРОЕКТ ПАСПОРТА</w:t>
      </w:r>
    </w:p>
    <w:p w:rsidR="00E8289E" w:rsidRPr="00E8289E" w:rsidRDefault="00E8289E" w:rsidP="00E8289E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89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особо охраняемой природной территории местного значения</w:t>
      </w:r>
    </w:p>
    <w:p w:rsidR="00E8289E" w:rsidRPr="00E8289E" w:rsidRDefault="00E8289E" w:rsidP="00E8289E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E8289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природного рекреационного комплекса</w:t>
      </w:r>
    </w:p>
    <w:p w:rsidR="00E8289E" w:rsidRPr="00E8289E" w:rsidRDefault="00E8289E" w:rsidP="00E8289E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E8289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«ПОДУШКИНСКИЙ ЛЕС»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1. Наименование объекта и его категория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Природный рекреационный комплекс «ПОДУШКИНСКИЙ ЛЕС»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2. Значение объекта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Местное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3. Местонахождение</w:t>
      </w:r>
    </w:p>
    <w:p w:rsidR="00E8289E" w:rsidRPr="00E8289E" w:rsidRDefault="00E8289E" w:rsidP="00E8289E">
      <w:pPr>
        <w:keepNext/>
        <w:widowControl w:val="0"/>
        <w:shd w:val="clear" w:color="auto" w:fill="FFFFFF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Одинцовский муниципальный район, участок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участкового лесничества Звенигородского лесничества Московской области, расположенный в окружении населенных пунктов Усово,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Трехгорка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и ограниченный с юга чертой города Одинцово. Схема прилагается.</w:t>
      </w:r>
    </w:p>
    <w:p w:rsidR="00E8289E" w:rsidRPr="00E8289E" w:rsidRDefault="00E8289E" w:rsidP="00E8289E">
      <w:pPr>
        <w:keepNext/>
        <w:widowControl w:val="0"/>
        <w:shd w:val="clear" w:color="auto" w:fill="FFFFFF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keepNext/>
        <w:widowControl w:val="0"/>
        <w:shd w:val="clear" w:color="auto" w:fill="FFFFFF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E828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Площади и правообладатели на землю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Общая площадь ООПТ – 2417,2 га. </w:t>
      </w:r>
      <w:r w:rsidRPr="00E8289E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проектируемой ООПТ располагается на землях лесного фонда в управлении Комитета лесного хозяйства Московской области (федеральная собственность);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z w:val="24"/>
          <w:szCs w:val="24"/>
        </w:rPr>
        <w:t>Адрес: 143407, МО, г. Красногорск-7, бульвар Строителей, д. 1.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границ природного рекреационного комплекса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Граница предлагаемой ООПТ – природного рекреационного комплекса (ПРК) «ПОДУШКИНСКИЙ ЛЕС» совпадает с внешней границей большей части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лесопарка и включает 59 лесных кварталов (7, 8, 10-66).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Территория ПРК состоит из шести контуров, разделенных между собой полосами отвода автомобильной дороги «Соединительная автомобильная магистраль от МКАД в районе транспортной развязки с Молодогвардейской улицей до автомобильной магистрали М-1 «Беларусь» Москва-Минск» (далее – «автодорога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«Беларусь») и проектируемой автомобильной дороги «Автомобильная дорога А-106 Рублево-Успенское шоссе на участке подъезда к г. Одинцово» (далее – «проектируемая автодорога А-106 – Одинцово»).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Общая площадь ООПТ составляет 2417,2 га.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Контур 1 с западной стороны примыкает к полосе отвода проектируемой автодороги А-106 – Одинцово, с южной стороны ограничен полосой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и полностью либо частично включает в себя лесные кварталы 7, 8, 10-17, 20-43, 47-59. Контур 2 примыкает к западной границе полосы отвода проектируемой автодороги А-106 – Одинцово, в него полностью входят лесные кварталы 18, 19 и частично – 24, 29. Контур 3 также примыкает к западной границе полосы отвода проектируемой автодороги А-106 – Одинцово, включает в себя части лесных кварталов 34, 46. Контур 4 со всех сторон ограничен полосой отвода проектируемой автодороги А-106 – Одинцово и частично расположен в лесных кварталах 34, 35, 47. Контур 5 примыкает к юго-западной границе полосы отвода проектируемой автодороги А-106 – Одинцово, располагается в лесном квартале 46. Контур 6 северной и восточной границами примыкает к </w:t>
      </w: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>полосе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«Беларусь», а с юга граничит с городской чертой г. Одинцово. Частично включает лесные кварталы 46, 54, 55, 64. Контур 7 с запада и северо-запада ограничен полосой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и занимает лесные кварталы 45, 60-63, 65, 66 полностью и 43, 44, 56-59, 64 – частично.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Граница Контура 1 начинается от точки примыкания северо-западного угла квартала 10 к полосе отвода проектируемой автодороги А-106 – Одинцово» (т. А) и проходит в общем направлении на северо-восток по северным границам лесных кварталов 10, 11, 7, 8, далее – на юг по восточной границе лесного квартала 8, затем на северо-восток по северной границе лесного квартала 13, далее поворачивает на юго-восток и проходит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восточным и северо-восточным границам лесных кварталов 13, 17, 23, 28, 33, 38, затем поворачивает в общем направлении на северо-восток и идет по северным и северо-западным границам лесных кварталов 51, 39, 42, 40, 41, и далее на юго-восток до пересечения границы лесного квартала 41 с полосой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(т. Б). Вдоль северной границы полосы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(земельные участки с кадастровыми номерами 50:20:0010336:1316, 50:20:0010336:1318, 50:20:0010336:1658, 50:20:0010336:1806, 50:20:0010336:1808, 50:20:0010336:1811, 50:20:0010411:680, 50:20:0010411:742, 50:20:0010411:743, 50:20:0010411:746) граница ПРК идет в общем направлении на юго-запад до точки примыкания к полосе отвода проектируемой автодороги А-106 – Одинцово (т. В). Затем, по восточной границе полосы отвода проектируемой автодороги А-106 – Одинцово граница ПРК проходит в северо-западном направлении до точки примыкания к полосе отвода северо-западного угла квартала 10 (т. А).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Граница Контура 2 начинается от точки пересечения западной границы лесного квартала 14 с юго-западной границей полосы отвода проектируемой автодороги А-106 – Одинцово (т. Г), затем проходит вдоль полосы отвода проектируемой автодороги А-106 – Одинцово в юго-восточном направлении до точки пересечения полосы отвода с южной границей лесного квартала 29 (т. Д).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Далее в общем направлении на северо-восток граница ПРК проходит по западной границе лесного квартала 29, юго-западной границе лесного квартала 24, затем огибает лесной квартал 18 вдоль юго-восточной, южной, западной и северной границ и по западной границе лесного квартала 14 доходит до точки ее пересечения с полосой отвода проектируемой автодороги А-106 – Одинцово (т. Г).</w:t>
      </w:r>
      <w:proofErr w:type="gramEnd"/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Граница Контура 3 начинается от точки пересечения западной границы лесного квартала 34 с юго-западной границей полосы отвода проектируемой автодороги А-106 – Одинцово (т. Е), далее проходит вдоль полосы отвода проектируемой автодороги А-106 – Одинцово на юго-восток до ее пересечения с юго-западной границей лесного квартала 46 (т. Ж), затем поворачивает на северо-запад вдоль границы лесных кварталов 46 и 34 до точки пересечения западной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границы лесного квартала 34 с юго-западной границей полосы отвода проектируемой автодороги А-106 – Одинцово (т. Е).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Граница Контура 4 начинается от точки примыкания полосы отвода проектируемой автодороги А-106 – Одинцово к полосе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(т. И) и идет на юго-восток, а затем на юго-запад вдоль полосы отвода автодороги МКАД – М1 «Беларусь» (земельные участки с кадастровыми номерами 50:20:0000000:1047, 50:20:0040111:174, 50:20:0040111:186) до точки пересечения полосы отвода с западной границей лесного квартала 46 (т. К). Далее граница ПРК проходит вдоль западной границы лесного квартала 46 до точки ее пересечения с полосой отвода проектируемой автодороги А-106 – Одинцово (т. Л), а затем в общем направлении на северо-восток до точки примыкания полосы отвода проектируемой автодороги А-106 – Одинцово к полосе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(т. И).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Граница Контура 5 начинается от точки пересечения полосы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с юго-западной границей лесного квартала 46, затем идет в общем направлении на северо-восток вдоль полосы отвода автодороги МКАД – М1 «Беларусь» (земельные участки с кадастровыми номерами 50:20:0000000:1047, 50:20:0040111:173, 50:20:0040111:742, 50:20:0040111:744) вплоть до точки примыкания к полосе отвода городской черты г. Одинцово (т. Н) и  далее проходит по южной границе кварталов 64, 55, 54, 46 в общем направлении на юго-запад до крайнего южного угла лесного квартала 46 (т. О), от которой поворачивает на северо-</w:t>
      </w: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>запад вдоль границы лесного квартала 46 до точки ее пересечения с полосой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(т. М).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Граница Контура 6 начинается с точки пересечения границы лесного квартала 41 с полосой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(т. П) и проходит в общем направлении на северо-восток вдоль северных границ лесных кварталов 44, 45, затем поворачивает к югу по границе лесного квартала 45, далее в общем направлении на юго-запад проходит по восточной границе лесного квартала 61, юго-восточной границе квартала 63,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южной и западной границам квартала 62, южной границе кварталов 44, 43, восточной и южной границам квартала 59, южной границе квартала 58, юго-восточной границе квартала 66 и южной границе кварталов 65 и 64 до точки примыкания восточного угла лесного квартала 64 к полосе отвода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шоссе и городской черте Одинцово (т. Р).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Затем граница ПРК проходит по направлению на северо-восток вдоль юго-восточной границы полосы отвода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шоссе и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(земельные участки с кадастровыми номерами 50:20:0010336:1316, 50:20:0010336:1658, 50:20:0010336:1807, 50:20:0010336:1808, 50:20:0010336:1811, 50:20:0010411:744) до точки пересечения границы лесного квартала 41 с полосой отвода автодороги МКАД – М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«Беларусь» (т. П).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6.Описание природно-рекреационного комплекса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Проектируемая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ООПТ ПРК «ПОДУШКИНСКИЙ ЛЕС» представляет особо ценный природный объект, включающий лесные массивы между долиной Москвы-реки и городским поселением Одинцово. ООПТ охватывает единую территорию с общей границей. Населенный пункт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находится за пределами ООПТ, но является ее географическим центром. В пределах  предлагаемого природного рекреационного комплекса городские и сельские поселения отсутствуют, по внешней границе расположены: городское поселение Одинцово, населенные пункты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Лайково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Горки-2, Усово,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Барвиха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Шульгино,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Немчиновка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Трехгорка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Никонорово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Лохино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На описываемой территории сформировались ландшафты с высокой эстетической привлекательностью и рекреационной ценностью, обусловленной сочетанием слабо нарушенных лесных природных комплексов и редкого многообразия эрозионного рельефа. В целом исследуемые ландшафты подразделяются на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плакорные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приуроченные к плоским ледниковым равнинам, и долинные. Северная окраина лесопарка частично входит в пределы москворецкого долинного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зандра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В границах проектируемой ООПТ расположены долины реки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Самынка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(верхнее и среднее течение) и фрагмент  долины реки Медвенка. Большинство отрезков  границы предлагаемого природного рекреационного комплекса четко определяются на местности природными рубежами, дорожной сетью и зонами застройки. В северо-восточной части массив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лесопарка переходит узким коридором в лесной массив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Серебрянноборского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лесничества, на юго-западе - в массив Пионерского лесничества Звенигородского лесхоза. На этих и некоторых других лесных участках граница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проектируемой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ООПТ определяется по материалам лесоустройства. 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Основная часть описываемой территории относится к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Апрелевско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-Кунцевскому ландшафту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Москворецко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-Окской физико-географической провинции на абсолютных высотах 160-210 м, северная периферия - к Москворецкому ландшафту той же провинции на абсолютных высотах 130-190 м. 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В геоморфологическом отношении территория ООПТ представляет собой поверхность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моренной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равнины, густо расчлененную  долинами  малых рек в сочетании с овражно-балочной сетью.  Для нижних отрезков рек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Самынка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и Медвенка характерно наличие в их долинах  фрагментов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москворецкого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зандра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моренной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равнине встречаются отдельные моренные холмы. Понижения рельефа, прежде всего в долинах рек и многочисленных эрозионных форм, занимают до 30% общей площади. Небольшой участок на западе расположен в местности моренных и озерно-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водноледниковых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равнин.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Территория ООПТ имеет развитую эрозионную сеть, создающую разнообразие природных ландшафтов. Общий уклон к северу обуславливает направление речных долин, многочисленных </w:t>
      </w: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долин безымянных ручьев, разветвленных лесных балок. Основными гидрологическими объектами, дренирующими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Подушкинский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лес, являются реки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Самынка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и Медвенка. Сток реки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Самынка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зарегулирован. На территории ПРК ее русло перегорожено плотинами, подпирающими два пруда с поверхностью водного зеркала порядка 2,5 га каждый. В районе населенного пункта Горки-2 река Медвенка прорезает холмистую местность, переходящую в высокий (до 25 м) берег Москвы-реки, образуя одну из подмосковных «Швейцарий». Обе дренирующие реки являются правыми притоками Москвы-реки и впадают в нее в непосредственной близости от северной границы проектируемой ООПТ выше по течению от водозабора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Рублевской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водопроводной станции. 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Практически всю площадь предлагаемого ПРК «ПОДУШКИНСКИЙ ЛЕС» занимает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старовозрастный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лесной массив хвойных и лиственных пород, значительная часть которого не претерпела антропогенных изменений и сохраняет способность к самовосстановлению. Основу лесов составляют средневозрастные осиново-березовые древостои с участием дуба, липы и ели, а также посадки сосны и ели. Отдельными участками представлены еловые, сосново-еловые, сосново-еловые с дубом и липой, липовые 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сероольховые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леса.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На большей части площади лесопарка в составе лесов участвуют такие коренные широколиственные породы, как липа и дуб. Местами диаметр стволов дуба достигает 80-90 см, но, к сожалению, довольно много экземпляров дуба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суховершинят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или погибли. Основными ослабляющими факторами для дуба являются: зеленая дубовая листовертка, комплекс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гнилевых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некрозно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-раковых болезней, антропогенное воздействие и порослевое происхождение. В качестве примеси в лесах, кроме указанных пород, участвует клен платановидный и ива козья. Черемуха и рябина чаще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кустарниковой формой и входят в состав подлеска.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Наиболее хорошо сохранились сложные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старовозрастные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многопородные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леса в центральной части лесопарка (к югу и к юго-западу от пос.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Полушкино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). Самыми многовидовыми, интересными и ценными, близкими к коренным являются леса долины р.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Самынки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и оврагов, открывающихся в нее. Мало нарушены и отличаются значительным флористическим разнообразием леса кварталов: 11, 15, 17, 20-38, 47-49.  Восточная часть лесопарка занята преимущественно молодыми,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восстанавливающимися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мелколиственными лесами с дубом и липой, а также посадками сосны и ели.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В пределах природного рекреационного комплекса встречаются редкие и охраняемые растения, занесенные в Красную книгу Московской области (печеночница благородная, ветреница лесная, шпажник черепитчатый) и Приложение 1 к Красной книге (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любка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двулистная.,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пальчатокоренник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Фукса, колокольчик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персиколистный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, колокольчик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крапиволистный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>, ландыш майский, купальница европейская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Животный мир территории проектируемого природного рекреационного комплекса отличается высоким разнообразием и репрезентативностью для лесопаркового пояса г. Москвы. Здесь отмечено обитание 73 видов позвоночных животных, относящихся к 19 отрядам 5 классов, в том числе 7 видов рыб, 3 вида амфибий, 2 вида рептилий, 42 вида птиц и 19 видов млекопитающих. Это составляет около 23% от числа видов соответствующих таксонов, зарегистрированных в Западном Подмосковье. </w:t>
      </w:r>
      <w:proofErr w:type="gramStart"/>
      <w:r w:rsidRPr="00E8289E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обследования на проектируемой территории выявлено пребывание 10 редких и уязвимых видов животных, нуждающихся в особой охране в Московской области: 6 обитающих здесь видов животных (гребенчатый тритон, веретеница ломкая, уж обыкновенный, обыкновенная неясыть и обыкновенный осоед) занесены в Красную книгу Московской области и еще 4 вида птиц и млекопитающих (черный коршун, клинтух, барсук и орешниковая соня) занесены в Приложение</w:t>
      </w:r>
      <w:proofErr w:type="gramEnd"/>
      <w:r w:rsidRPr="00E8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к Красной книге Московской области "Список редких и уязвимых таксонов, не включенных в Красную книгу Московской области, но нуждающихся на территории области в постоянном контроле и наблюдении".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7. Основные источники негативного антропогенного воздействия на территорию природного рекреационного комплекса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Экологическое состояние природных комплексов исследованной территории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пространственно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весьма неоднородно, изменяясь в диапазоне от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неудовлетворительного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хорошего.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В областях, удаленных от населенных пунктов, преимущественно в западной и менее в восточной частях предлагаемой ООПТ, отмечается наименьшее антропогенное воздействие на природные экосистемы.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Присутствие в  этих областях крупных копытных свидетельствует о минимальной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нарушенности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зооботанических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комплексов и сохранении их высокой экологической ценности. Наибольшее влияние антропогенной деятельности экосистемы испытывают вдоль существующей границы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Подушкинского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лесопарка, в полосе, примыкающей к населенным пунктам и лыже-роллерной трассе, что обуславливает их неудовлетворительное состояние, ведущее к деградации и разрушению.</w:t>
      </w:r>
    </w:p>
    <w:p w:rsidR="00E8289E" w:rsidRPr="00E8289E" w:rsidRDefault="00E8289E" w:rsidP="00E82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В полосах, примыкающих к автодорогам, отмечается присутствие химических веществ, смываемых с них поверхностным стоком. Существенную химическую нагрузку на природные комплексы создают также вещества, привносимые в результате рекреационного использования описываемой территории. Загрязнение почвенного покрова происходит при попадании в верхние почвенные горизонты отходов жизнедеятельности человека. В засушливые периоды на участках выхода лесных насаждений к автодорогам постоянно существует угроза возгорания.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Имеющиеся специально оборудованные места отдыха не в состоянии полностью удовлетворить растущие потребности. При сохранении существующего положения на данной территории прогнозируется возрастание неконтролируемого рекреационного пресса и усиление его экологически негативных последствий. Основаниями для такого прогноза служат общие тенденции нарастания масштабов стихийной рекреации при одновременном уменьшении лесных участков, пригодных для отдыха. Учитывая близость к Москве, предопределяющую стремительное развитие экологически негативных тенденций в рекреационном природопользовании, можно предвидеть и возрастание иных антропогенных воздействий. Наиболее вероятным потенциальным источником негативного воздействия может стать новое строительство: коттеджное, инфраструктурное и любое другое, расширение которого вглубь территории столь экологически ценного объекта недопустимо.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При сохраняющихся тенденциях отчуждения земель под застройку и стихийного рекреационного воздействия на различные компоненты лесных экосистем проектируемой ООПТ «ПОДУШКИНСКИЙ ЛЕС» прогнозируется деградация природных комплексов, их почвенного и растительного покрова, загрязнение почв и потеря их функций очищения поверхностного стока, уменьшение численности и видового разнообразия животных, потеря редких видов флоры и фауны. Такая ситуация приведет к потере экологической ценности и эстетической привлекательности ландшафта, вплоть до полной его деградации, а также к потере высокого качества природной среды и утрате изначальной ценности земель как в границах ООПТ, так и на прилегающих территориях.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8. Режим охраны природного рекреационного комплекса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А. Допустимые виды деятельности: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любая деятельность, связанная с осуществлением лесохозяйственных мероприятий в соответствии с категорией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защитности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лесов; 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ремонт и техническое обслуживание существующих коммуникаций и инженерных объектов;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пешие, велосипедные и лыжные прогулки только по обозначенным на местности экологическим маршрутам;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рекреационное обустройство маршрутов (экологических троп) и мест отдыха с установкой малых архитектурных форм из естественно сочетающихся материалов;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благоустройство полотна экологических троп без применения твердого покрытия.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Б. Запрещенные виды деятельности:</w:t>
      </w:r>
    </w:p>
    <w:p w:rsidR="00E8289E" w:rsidRPr="00E8289E" w:rsidRDefault="00E8289E" w:rsidP="00E8289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оборот земель лесного фонда, передача участков лесного фонда в частную собственность;</w:t>
      </w:r>
    </w:p>
    <w:p w:rsidR="00E8289E" w:rsidRPr="00E8289E" w:rsidRDefault="00E8289E" w:rsidP="00E8289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перевод земель лесного фонда в другие категории земель;</w:t>
      </w:r>
    </w:p>
    <w:p w:rsidR="00E8289E" w:rsidRPr="00E8289E" w:rsidRDefault="00E8289E" w:rsidP="00E8289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передача участков лесного фонда в аренду, за исключением аренды в целях обеспечения режима охраны и функционирования ООПТ. </w:t>
      </w:r>
    </w:p>
    <w:p w:rsidR="00E8289E" w:rsidRPr="00E8289E" w:rsidRDefault="00E8289E" w:rsidP="00E8289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>любые воздействия, нарушающие почвенно-растительный покров, рельеф, гидрологический режим, в том числе: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любое строительство, включая возведение некапитальных построек, установка временных сооружений, за исключением вспомогательной зоны в соответствии с ее режимом;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- прокладка дорог, за исключением дорог федерального назначения в зоне умеренных ограничений и зоне активного рекреационного использования  и дорог во вспомогательной зоне; 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проведение наземных и подземных коммуникаций (энергетики, связи) за исключением вспомогательной зоны;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размещение дачных и садово-огородных участков и выделение участков под индивидуальное жилищное и иное строительство;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вырубка древесно-кустарниковой растительности, кроме централизованного изъятия сухостоя, деревьев, выпавших из состава насаждений в результате снеголомов и ветровалов, поражения стволовыми вредителями;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5) виды деятельности, которые могут привести к загрязнению территории и водотоков, уничтожению растительности и животного мира, в том числе: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применение химических средств борьбы с вредителями, болезнями растений, сорняками и малоценными породами деревьев и кустарников;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складирование ядохимикатов, минеральных удобрений, горюче-смазочных материалов, навоза и мусора;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загрязнение территории отходами жизнедеятельности;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захламление и замусоривание территории;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- закапывание и сжигание отходов;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палы травы;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разведение костров вне отведенных мест, применение пиротехнических средств;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заезд и транзитное перемещение по территории с использованием всех видов механических транспортных средств, включая тяжелую строительную технику, а также легкие внедорожные моторные транспортные средства (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квадрациклы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>, снегоходы  т.п.), за исключением спецтранспорта для лесохозяйственных нужд, осуществления государственного экологического контроля, а также для охраны правопорядка, пожаротушения, вывоза мусора,  предотвращения и ликвидации чрезвычайных ситуаций и спасения жизни людей;</w:t>
      </w:r>
      <w:proofErr w:type="gramEnd"/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организация туристических палаточных лагерей, туристических стоянок, бивуаков, проведение массовых спортивно-оздоровительных мероприятий, организация пляжей вне отведенных для этого мест;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пребывание на территории с духовым оружием и его использование;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отлов и иные формы изъятия из среды обитания, а также уничтожение млекопитающих, птиц, земноводных, пресмыкающихся и беспозвоночных диких животных (кроме целевых мероприятий по изъятию одичавших собак, и особей видов - разносчиков бешенства);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прослушивание аудиосредств без наушников;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свободный выгул собак;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сбор любых видов растений, их листьев, цветов, плодов, за исключением листьев щавеля кислого, липового цвета, плодов земляники обыкновенной и малины;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выпас и прогон скота.</w:t>
      </w:r>
    </w:p>
    <w:p w:rsidR="00E8289E" w:rsidRPr="00E8289E" w:rsidRDefault="00E8289E" w:rsidP="00E8289E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Зонирование природного рекреационного комплекса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Функциональные зоны выделяются в соответствии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89E" w:rsidRPr="00E8289E" w:rsidRDefault="00E8289E" w:rsidP="00E8289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природной ценностью охраняемой территории;</w:t>
      </w:r>
    </w:p>
    <w:p w:rsidR="00E8289E" w:rsidRPr="00E8289E" w:rsidRDefault="00E8289E" w:rsidP="00E8289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рекреационной емкостью различных участков;</w:t>
      </w:r>
    </w:p>
    <w:p w:rsidR="00E8289E" w:rsidRPr="00E8289E" w:rsidRDefault="00E8289E" w:rsidP="00E8289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наличием особо уязвимых экосистем.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задачами охраны на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создаваемой ООПТ ПРК «ПОДУШКИНСКИЙ ЛЕС» предлагается выделить:</w:t>
      </w:r>
    </w:p>
    <w:p w:rsidR="00E8289E" w:rsidRPr="00E8289E" w:rsidRDefault="00E8289E" w:rsidP="00E8289E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>Зону жестких ограничений  рекреационного использования (зону покоя);</w:t>
      </w:r>
    </w:p>
    <w:p w:rsidR="00E8289E" w:rsidRPr="00E8289E" w:rsidRDefault="00E8289E" w:rsidP="00E8289E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Зону умеренных ограничений рекреационного использования (туристическую);</w:t>
      </w:r>
    </w:p>
    <w:p w:rsidR="00E8289E" w:rsidRPr="00E8289E" w:rsidRDefault="00E8289E" w:rsidP="00E8289E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Зону активного рекреационного использования (спортивно-оздоровительную);</w:t>
      </w:r>
    </w:p>
    <w:p w:rsidR="00E8289E" w:rsidRPr="00E8289E" w:rsidRDefault="00E8289E" w:rsidP="00E8289E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Вспомогательную зону (зону обслуживания и организационных элементов охранной инфраструктуры). Схема прилагается.</w:t>
      </w:r>
    </w:p>
    <w:p w:rsidR="00E8289E" w:rsidRPr="00E8289E" w:rsidRDefault="00E8289E" w:rsidP="00E828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Режим охраны функциональных зон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Зоны имеют разрешительный и запретительный режим.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Разрешительный режим - это такой режим, при котором запрещено все, что не разрешено специально. Запретительный режим - это такой режим, при котором разрешено все, что не запрещено специально. В рассматриваемой ситуации разрешительный режим предлагается для зоны жестких ограничений хозяйственного использования и зоны умеренных ограничений хозяйственного использования; запретительный режим предлагается для вспомогательной зоны.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Cs/>
          <w:sz w:val="24"/>
          <w:szCs w:val="24"/>
        </w:rPr>
        <w:t>10.1. Зона жестких ограничений рекреационного использования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На этой территории запрещены все виды пользования, за исключением лесохозяйственных мероприятий и ремонтно-профилактических работ на существующих коммуникациях и инженерных объектах, транзитных пеших и лыжных прогулок по обозначенным на местности маршрутам, а также фотоохоты.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Cs/>
          <w:sz w:val="24"/>
          <w:szCs w:val="24"/>
        </w:rPr>
        <w:t>10.2. Зона умеренных ограничений рекреационного использования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В данной зоне запрещены все виды пользования, за исключением видов деятельности, разрешенных режимом особой охраны ООПТ (раздел 8.А), а также следующих видов деятельности:</w:t>
      </w:r>
    </w:p>
    <w:p w:rsidR="00E8289E" w:rsidRPr="00E8289E" w:rsidRDefault="00E8289E" w:rsidP="00E8289E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любая деятельность, связанная с осуществлением лесохозяйственных мероприятий в соответствии с категорией 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защитности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лесов; </w:t>
      </w:r>
    </w:p>
    <w:p w:rsidR="00E8289E" w:rsidRPr="00E8289E" w:rsidRDefault="00E8289E" w:rsidP="00E8289E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ремонт и техническое обслуживание существующих коммуникаций и инженерных объектов;</w:t>
      </w:r>
    </w:p>
    <w:p w:rsidR="00E8289E" w:rsidRPr="00E8289E" w:rsidRDefault="00E8289E" w:rsidP="00E8289E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пешие, велосипедные и лыжные прогулки только по обозначенным на местности экологическим маршрутам;</w:t>
      </w:r>
    </w:p>
    <w:p w:rsidR="00E8289E" w:rsidRPr="00E8289E" w:rsidRDefault="00E8289E" w:rsidP="00E8289E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рекреационное обустройство маршрутов (экологических троп) и мест отдыха с установкой малых архитектурных форм из естественно сочетающихся материалов;</w:t>
      </w:r>
    </w:p>
    <w:p w:rsidR="00E8289E" w:rsidRPr="00E8289E" w:rsidRDefault="00E8289E" w:rsidP="00E8289E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благоустройство полотна экологических троп без применения твердого покрытия. </w:t>
      </w:r>
    </w:p>
    <w:p w:rsidR="00E8289E" w:rsidRPr="00E8289E" w:rsidRDefault="00E8289E" w:rsidP="00E8289E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размещение людей на специально выделенных и оборудованных площадках экологически устойчивого отдыха (туристических стоянках).</w:t>
      </w:r>
    </w:p>
    <w:p w:rsidR="00E8289E" w:rsidRPr="00E8289E" w:rsidRDefault="00E8289E" w:rsidP="00E8289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10.3 Зона активного рекреационного использования </w:t>
      </w:r>
    </w:p>
    <w:p w:rsidR="00E8289E" w:rsidRPr="00E8289E" w:rsidRDefault="00E8289E" w:rsidP="00E828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В данной зоне действует общий запретительный режим ПРК, за исключением пункта 9 раздела 8.Б: «организация туристических палаточных лагерей, туристических стоянок, бивуаков, проведение массовых спортивно-оздоровительных мероприятий вне отведенных для этого мест».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Cs/>
          <w:sz w:val="24"/>
          <w:szCs w:val="24"/>
        </w:rPr>
        <w:t xml:space="preserve">10.4. Вспомогательная зона </w:t>
      </w:r>
    </w:p>
    <w:p w:rsidR="00E8289E" w:rsidRPr="00E8289E" w:rsidRDefault="00E8289E" w:rsidP="00E82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На данной территории действует общий запретительный режим ПРК (раздел 8.Б). Все прочие виды деятельности являются разрешенными. Организация элементов и объектов инфраструктуры в пределах зоны регулируется правовыми взаимоотношениями в сфере землепользования и градостроительства.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89E">
        <w:rPr>
          <w:rFonts w:ascii="Times New Roman" w:eastAsia="Calibri" w:hAnsi="Times New Roman" w:cs="Times New Roman"/>
          <w:b/>
          <w:bCs/>
          <w:sz w:val="24"/>
          <w:szCs w:val="24"/>
        </w:rPr>
        <w:t>11. Мероприятия, необходимые для обеспечения функционирования природного рекреационного комплекса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Для достижение целей и задач, стоящих перед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предлагаемой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ООПТ ПРК «ПОДУШКИНСКИЙ ЛЕС», необходимы следующие мероприятия: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а) информирование всех заинтересованных организаций и лиц, в том числе местного населения и отдыхающих, о режиме и границах ООПТ. Информирование включает сообщения в прессе: «Экологический вестник Московского региона», «Ежедневные новости. Подмосковье», «</w:t>
      </w:r>
      <w:proofErr w:type="spellStart"/>
      <w:r w:rsidRPr="00E8289E">
        <w:rPr>
          <w:rFonts w:ascii="Times New Roman" w:eastAsia="Calibri" w:hAnsi="Times New Roman" w:cs="Times New Roman"/>
          <w:sz w:val="24"/>
          <w:szCs w:val="24"/>
        </w:rPr>
        <w:t>Верхнемоскворечье</w:t>
      </w:r>
      <w:proofErr w:type="spellEnd"/>
      <w:r w:rsidRPr="00E8289E">
        <w:rPr>
          <w:rFonts w:ascii="Times New Roman" w:eastAsia="Calibri" w:hAnsi="Times New Roman" w:cs="Times New Roman"/>
          <w:sz w:val="24"/>
          <w:szCs w:val="24"/>
        </w:rPr>
        <w:t>», «Одинцовская неделя», «Новые рубежи», теле- и радиорепортажах, и любых других СМИ, освещающих проблемы экологии, а также публикация сообщений в Интернете.</w:t>
      </w:r>
    </w:p>
    <w:p w:rsidR="00E8289E" w:rsidRPr="00E8289E" w:rsidRDefault="00E8289E" w:rsidP="00E8289E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lastRenderedPageBreak/>
        <w:t>б) вынесение на местность границ ООПТ и ее функциональных зон путем установки 30 информационных аншлагов;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 соблюдением режима охраны ООПТ, включая соблюдение правил пожарной безопасности. Осуществляется посредством патрулирования территории круглогодично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 xml:space="preserve">г) закрепление на местности экологических маршрутов путем установки табличек-указателей из расчета один указатель на 200 м тропы; </w:t>
      </w:r>
    </w:p>
    <w:p w:rsidR="00E8289E" w:rsidRPr="00E8289E" w:rsidRDefault="00E8289E" w:rsidP="00E8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д) устройство искусственных гнезд, дуплянок, скворечников, подкормочных площадок для птиц (не менее 4-х шт./</w:t>
      </w:r>
      <w:proofErr w:type="gramStart"/>
      <w:r w:rsidRPr="00E8289E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E828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289E" w:rsidRPr="00E8289E" w:rsidRDefault="00E8289E" w:rsidP="00E82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89E" w:rsidRPr="00E8289E" w:rsidRDefault="00E8289E" w:rsidP="00E82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89E">
        <w:rPr>
          <w:rFonts w:ascii="Times New Roman" w:eastAsia="Calibri" w:hAnsi="Times New Roman" w:cs="Times New Roman"/>
          <w:sz w:val="24"/>
          <w:szCs w:val="24"/>
        </w:rPr>
        <w:t>Заместитель руководителя Администрации</w:t>
      </w:r>
      <w:r w:rsidRPr="00E8289E">
        <w:rPr>
          <w:rFonts w:ascii="Times New Roman" w:eastAsia="Calibri" w:hAnsi="Times New Roman" w:cs="Times New Roman"/>
          <w:sz w:val="24"/>
          <w:szCs w:val="24"/>
        </w:rPr>
        <w:tab/>
      </w:r>
      <w:r w:rsidRPr="00E8289E">
        <w:rPr>
          <w:rFonts w:ascii="Times New Roman" w:eastAsia="Calibri" w:hAnsi="Times New Roman" w:cs="Times New Roman"/>
          <w:sz w:val="24"/>
          <w:szCs w:val="24"/>
        </w:rPr>
        <w:tab/>
      </w:r>
      <w:r w:rsidRPr="00E8289E">
        <w:rPr>
          <w:rFonts w:ascii="Times New Roman" w:eastAsia="Calibri" w:hAnsi="Times New Roman" w:cs="Times New Roman"/>
          <w:sz w:val="24"/>
          <w:szCs w:val="24"/>
        </w:rPr>
        <w:tab/>
      </w:r>
      <w:r w:rsidRPr="00E8289E">
        <w:rPr>
          <w:rFonts w:ascii="Times New Roman" w:eastAsia="Calibri" w:hAnsi="Times New Roman" w:cs="Times New Roman"/>
          <w:sz w:val="24"/>
          <w:szCs w:val="24"/>
        </w:rPr>
        <w:tab/>
      </w:r>
      <w:r w:rsidRPr="00E8289E">
        <w:rPr>
          <w:rFonts w:ascii="Times New Roman" w:eastAsia="Calibri" w:hAnsi="Times New Roman" w:cs="Times New Roman"/>
          <w:sz w:val="24"/>
          <w:szCs w:val="24"/>
        </w:rPr>
        <w:tab/>
        <w:t>Н.Ю. Байрамова</w:t>
      </w:r>
    </w:p>
    <w:p w:rsidR="00E8289E" w:rsidRPr="00E8289E" w:rsidRDefault="00E8289E" w:rsidP="00E828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C4E8B" w:rsidRPr="00C27864" w:rsidRDefault="00BC4E8B" w:rsidP="00C27864">
      <w:bookmarkStart w:id="0" w:name="_GoBack"/>
      <w:bookmarkEnd w:id="0"/>
      <w:r w:rsidRPr="00C27864">
        <w:t xml:space="preserve"> </w:t>
      </w:r>
    </w:p>
    <w:sectPr w:rsidR="00BC4E8B" w:rsidRPr="00C27864" w:rsidSect="00261AC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DC" w:rsidRDefault="00C27864">
      <w:pPr>
        <w:spacing w:after="0" w:line="240" w:lineRule="auto"/>
      </w:pPr>
      <w:r>
        <w:separator/>
      </w:r>
    </w:p>
  </w:endnote>
  <w:endnote w:type="continuationSeparator" w:id="0">
    <w:p w:rsidR="00CE5EDC" w:rsidRDefault="00C2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39" w:rsidRDefault="00E8289E">
    <w:pPr>
      <w:pStyle w:val="a3"/>
      <w:jc w:val="right"/>
    </w:pPr>
  </w:p>
  <w:p w:rsidR="00F96A39" w:rsidRDefault="00E828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DC" w:rsidRDefault="00C27864">
      <w:pPr>
        <w:spacing w:after="0" w:line="240" w:lineRule="auto"/>
      </w:pPr>
      <w:r>
        <w:separator/>
      </w:r>
    </w:p>
  </w:footnote>
  <w:footnote w:type="continuationSeparator" w:id="0">
    <w:p w:rsidR="00CE5EDC" w:rsidRDefault="00C2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10"/>
    <w:multiLevelType w:val="hybridMultilevel"/>
    <w:tmpl w:val="81E6E0A2"/>
    <w:lvl w:ilvl="0" w:tplc="9B3489BE">
      <w:start w:val="1"/>
      <w:numFmt w:val="decimal"/>
      <w:lvlText w:val="%1)"/>
      <w:lvlJc w:val="left"/>
      <w:pPr>
        <w:tabs>
          <w:tab w:val="num" w:pos="482"/>
        </w:tabs>
        <w:ind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902F7"/>
    <w:multiLevelType w:val="multilevel"/>
    <w:tmpl w:val="441897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">
    <w:nsid w:val="33A86F33"/>
    <w:multiLevelType w:val="singleLevel"/>
    <w:tmpl w:val="7F08FB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392D365A"/>
    <w:multiLevelType w:val="hybridMultilevel"/>
    <w:tmpl w:val="B28C1DFA"/>
    <w:lvl w:ilvl="0" w:tplc="9B3489BE">
      <w:start w:val="1"/>
      <w:numFmt w:val="decimal"/>
      <w:lvlText w:val="%1)"/>
      <w:lvlJc w:val="left"/>
      <w:pPr>
        <w:tabs>
          <w:tab w:val="num" w:pos="700"/>
        </w:tabs>
        <w:ind w:left="190"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1AF0"/>
    <w:multiLevelType w:val="singleLevel"/>
    <w:tmpl w:val="A964DE1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55893E4D"/>
    <w:multiLevelType w:val="singleLevel"/>
    <w:tmpl w:val="E92CF36E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7">
    <w:nsid w:val="65C461AA"/>
    <w:multiLevelType w:val="hybridMultilevel"/>
    <w:tmpl w:val="6D582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0"/>
    <w:rsid w:val="000E711C"/>
    <w:rsid w:val="00821BF0"/>
    <w:rsid w:val="00BC4E8B"/>
    <w:rsid w:val="00C27864"/>
    <w:rsid w:val="00CE5EDC"/>
    <w:rsid w:val="00D94B4E"/>
    <w:rsid w:val="00E8289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2015-01-20T11:02:00Z</dcterms:created>
  <dcterms:modified xsi:type="dcterms:W3CDTF">2015-01-20T11:02:00Z</dcterms:modified>
</cp:coreProperties>
</file>