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СПРАВКА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по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муниципальному конкурсному отбору проектов инициативного бюджетирования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Инициативное бюджетирование 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-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форма непосредственного осуществления населением местного самоуправления и участия в его осуществлении при решении вопросов местного значения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как совокупность разнообразных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основанных на гражданской инициативе практик по решению вопросов местного значения при непосредственном участии населения в определении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выборе и реализации отобранных проектов</w:t>
      </w:r>
      <w:r>
        <w:rPr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Проектом инициативного бюджетирования является документально оформленная инициатива его участников направленная на решение вопросов местного значения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реализуемая на условиях софинансирования за счёт средств регионального и муниципального бюджета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а также средств физических и юридических лиц</w:t>
      </w:r>
      <w:r>
        <w:rPr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Инициаторами проектов могут выступать жители муниципального образования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инициативные группы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30"/>
          <w:szCs w:val="30"/>
          <w:rtl w:val="0"/>
          <w:lang w:val="ru-RU"/>
        </w:rPr>
        <w:t>органы ТОС</w:t>
      </w:r>
      <w:r>
        <w:rPr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Конкурсный отбор проектов ИБ проводится в два этапа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: </w:t>
      </w:r>
    </w:p>
    <w:p>
      <w:pPr>
        <w:pStyle w:val="Normal.0"/>
        <w:numPr>
          <w:ilvl w:val="0"/>
          <w:numId w:val="2"/>
        </w:numPr>
        <w:jc w:val="both"/>
        <w:rPr>
          <w:sz w:val="30"/>
          <w:szCs w:val="30"/>
          <w:lang w:val="ru-RU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Муниципальный конкурсный отбор</w:t>
      </w:r>
      <w:r>
        <w:rPr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Normal.0"/>
        <w:numPr>
          <w:ilvl w:val="0"/>
          <w:numId w:val="2"/>
        </w:numPr>
        <w:jc w:val="both"/>
        <w:rPr>
          <w:sz w:val="30"/>
          <w:szCs w:val="30"/>
          <w:lang w:val="ru-RU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>Региональный конкурсный отбор</w:t>
      </w:r>
      <w:r>
        <w:rPr>
          <w:rFonts w:ascii="Times New Roman" w:hAnsi="Times New Roman"/>
          <w:sz w:val="30"/>
          <w:szCs w:val="30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Порядок проведения конкурсного отбора проектов ИБ утверждён постановлением Правительства МО от 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17.12.2019 </w:t>
      </w:r>
      <w:r>
        <w:rPr>
          <w:rFonts w:ascii="Times New Roman" w:hAnsi="Times New Roman"/>
          <w:sz w:val="30"/>
          <w:szCs w:val="30"/>
          <w:rtl w:val="0"/>
          <w:lang w:val="en-US"/>
        </w:rPr>
        <w:t>n992/44.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30"/>
          <w:szCs w:val="30"/>
        </w:rPr>
      </w:pPr>
      <w:r>
        <w:rPr>
          <w:rFonts w:ascii="Times New Roman" w:hAnsi="Times New Roman" w:hint="default"/>
          <w:sz w:val="30"/>
          <w:szCs w:val="30"/>
          <w:rtl w:val="0"/>
          <w:lang w:val="ru-RU"/>
        </w:rPr>
        <w:t xml:space="preserve">Порядок проведения муниципального конкурсного отбора на территории ОГО утвержден постановлением администрации ОГО от 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28.04.2020 </w:t>
      </w:r>
      <w:r>
        <w:rPr>
          <w:rFonts w:ascii="Times New Roman" w:hAnsi="Times New Roman"/>
          <w:sz w:val="30"/>
          <w:szCs w:val="30"/>
          <w:rtl w:val="0"/>
          <w:lang w:val="en-US"/>
        </w:rPr>
        <w:t>n1114</w:t>
      </w:r>
      <w:r>
        <w:rPr>
          <w:rFonts w:ascii="Times New Roman" w:hAnsi="Times New Roman"/>
          <w:sz w:val="30"/>
          <w:szCs w:val="30"/>
          <w:rtl w:val="0"/>
          <w:lang w:val="ru-RU"/>
        </w:rPr>
        <w:t xml:space="preserve"> https://odin.ru/news/?id=56292 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ГУТП МО объявило о проведении конкурсного отбора проектов инициативного бюджетирования в Московской области в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году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распоряжение ГУТП МО от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мая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2020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№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7)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с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мая </w:t>
      </w:r>
      <w:r>
        <w:rPr>
          <w:rFonts w:ascii="Times New Roman" w:hAnsi="Times New Roman"/>
          <w:sz w:val="28"/>
          <w:szCs w:val="28"/>
          <w:rtl w:val="0"/>
          <w:lang w:val="ru-RU"/>
        </w:rPr>
        <w:t>2020)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участия в муниципальном конкурсном отборе инициаторами проектов ИБ были размещены на интернет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-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портале Добродел  по представленной форме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Голосование жителей городского округа на Доброделе осуществляется в следующие сроки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Начало голосования – </w:t>
      </w:r>
      <w:r>
        <w:rPr>
          <w:rFonts w:ascii="Times New Roman" w:hAnsi="Times New Roman"/>
          <w:sz w:val="28"/>
          <w:szCs w:val="28"/>
          <w:rtl w:val="0"/>
          <w:lang w:val="ru-RU"/>
        </w:rPr>
        <w:t>22.05.2020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окончания – </w:t>
      </w:r>
      <w:r>
        <w:rPr>
          <w:rFonts w:ascii="Times New Roman" w:hAnsi="Times New Roman"/>
          <w:sz w:val="28"/>
          <w:szCs w:val="28"/>
          <w:rtl w:val="0"/>
          <w:lang w:val="ru-RU"/>
        </w:rPr>
        <w:t>31.05.2020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Жители ОГО смогут принять участие в голосовании за проекты ИБ на интернет портале Добродел во вкладке народный бюджет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https://vote.dobrodel.ru/narodniy_budjet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На муниципальный конкурсный отбор от ОГО представлены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13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проектов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Для голосования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 за проекты жителям 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1.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Нужно авторизоваться под подтвержденной записью ЕСИА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2.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Выбрать проект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Ввести осознанный комментарий в </w:t>
      </w:r>
      <w:r>
        <w:rPr>
          <w:rFonts w:ascii="Times New Roman" w:hAnsi="Times New Roman"/>
          <w:sz w:val="28"/>
          <w:szCs w:val="28"/>
          <w:rtl w:val="0"/>
        </w:rPr>
        <w:t xml:space="preserve">50 </w:t>
      </w:r>
      <w:r>
        <w:rPr>
          <w:rFonts w:ascii="Times New Roman" w:hAnsi="Times New Roman" w:hint="default"/>
          <w:sz w:val="28"/>
          <w:szCs w:val="28"/>
          <w:rtl w:val="0"/>
        </w:rPr>
        <w:t>символов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4.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Нажать Поддержать или Против</w:t>
      </w:r>
      <w:r>
        <w:rPr>
          <w:rFonts w:ascii="Times New Roman" w:hAnsi="Times New Roman"/>
          <w:sz w:val="28"/>
          <w:szCs w:val="28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</w:rPr>
        <w:t xml:space="preserve">5. </w:t>
      </w:r>
      <w:r>
        <w:rPr>
          <w:rFonts w:ascii="Times New Roman" w:hAnsi="Times New Roman" w:hint="default"/>
          <w:sz w:val="28"/>
          <w:szCs w:val="28"/>
          <w:rtl w:val="0"/>
        </w:rPr>
        <w:t>Подтвердить голос</w:t>
      </w:r>
      <w:r>
        <w:rPr>
          <w:rFonts w:ascii="Times New Roman" w:hAnsi="Times New Roman"/>
          <w:sz w:val="28"/>
          <w:szCs w:val="28"/>
          <w:rtl w:val="0"/>
        </w:rPr>
        <w:t>.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 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Результаты голосования будут учитываться конкурсной комиссией при принятии итогового решения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Конкурсная комиссия по результатам окончания муниципального конкурсного отбора проектов ИБ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представляет прошедшие отбор проекты к участию в муниципальном конкурсном отборе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Информация о результатах муниципального конкурсного отбора будет размещена на официальном сайте ОГО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rtl w:val="0"/>
          <w:lang w:val="ru-RU"/>
        </w:rPr>
        <w:t xml:space="preserve">3.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начала и окончания сроков приема проектов и документов на 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2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этапе </w:t>
      </w:r>
      <w:r>
        <w:rPr>
          <w:rFonts w:ascii="Times New Roman" w:hAnsi="Times New Roman"/>
          <w:sz w:val="28"/>
          <w:szCs w:val="28"/>
          <w:rtl w:val="0"/>
          <w:lang w:val="ru-RU"/>
        </w:rPr>
        <w:t>(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региональном</w:t>
      </w:r>
      <w:r>
        <w:rPr>
          <w:rFonts w:ascii="Times New Roman" w:hAnsi="Times New Roman"/>
          <w:sz w:val="28"/>
          <w:szCs w:val="28"/>
          <w:rtl w:val="0"/>
          <w:lang w:val="ru-RU"/>
        </w:rPr>
        <w:t>):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начала приема проектов– </w:t>
      </w:r>
      <w:r>
        <w:rPr>
          <w:rFonts w:ascii="Times New Roman" w:hAnsi="Times New Roman"/>
          <w:sz w:val="28"/>
          <w:szCs w:val="28"/>
          <w:rtl w:val="0"/>
          <w:lang w:val="ru-RU"/>
        </w:rPr>
        <w:t>01.06.2020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 xml:space="preserve">Дата окончания приема проектов – </w:t>
      </w:r>
      <w:r>
        <w:rPr>
          <w:rFonts w:ascii="Times New Roman" w:hAnsi="Times New Roman"/>
          <w:sz w:val="28"/>
          <w:szCs w:val="28"/>
          <w:rtl w:val="0"/>
          <w:lang w:val="ru-RU"/>
        </w:rPr>
        <w:t>30.06.2020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По итогам проведения регионального конкурсного отбора конкурсная комиссия принимает решения о победителях с учетом итоговой бальной оценки согласно критериям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p>
      <w:pPr>
        <w:pStyle w:val="Normal.0"/>
        <w:ind w:firstLine="567"/>
        <w:jc w:val="both"/>
        <w:rPr>
          <w:rFonts w:ascii="Times New Roman" w:cs="Times New Roman" w:hAnsi="Times New Roman" w:eastAsia="Times New Roman"/>
          <w:sz w:val="28"/>
          <w:szCs w:val="28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Критериями конкурсного отбора являются</w:t>
      </w:r>
      <w:r>
        <w:rPr>
          <w:rFonts w:ascii="Times New Roman" w:hAnsi="Times New Roman"/>
          <w:sz w:val="28"/>
          <w:szCs w:val="28"/>
          <w:rtl w:val="0"/>
          <w:lang w:val="ru-RU"/>
        </w:rPr>
        <w:t>:</w:t>
      </w:r>
    </w:p>
    <w:p>
      <w:pPr>
        <w:pStyle w:val="Normal.0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степень участия населения в определении проблемы</w:t>
      </w:r>
      <w:r>
        <w:rPr>
          <w:rFonts w:ascii="Times New Roman" w:hAnsi="Times New Roman"/>
          <w:sz w:val="28"/>
          <w:szCs w:val="28"/>
          <w:rtl w:val="0"/>
          <w:lang w:val="ru-RU"/>
        </w:rPr>
        <w:t xml:space="preserve">, </w:t>
      </w:r>
      <w:r>
        <w:rPr>
          <w:rFonts w:ascii="Times New Roman" w:hAnsi="Times New Roman" w:hint="default"/>
          <w:sz w:val="28"/>
          <w:szCs w:val="28"/>
          <w:rtl w:val="0"/>
          <w:lang w:val="ru-RU"/>
        </w:rPr>
        <w:t>на решение которой направлен проект</w:t>
      </w:r>
    </w:p>
    <w:p>
      <w:pPr>
        <w:pStyle w:val="Normal.0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Социальная эффективность от реализации</w:t>
      </w:r>
    </w:p>
    <w:p>
      <w:pPr>
        <w:pStyle w:val="Normal.0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Уровень софинансирования за счёт местного бюджета</w:t>
      </w:r>
    </w:p>
    <w:p>
      <w:pPr>
        <w:pStyle w:val="Normal.0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Информирование населения о проекте</w:t>
      </w:r>
    </w:p>
    <w:p>
      <w:pPr>
        <w:pStyle w:val="Normal.0"/>
        <w:numPr>
          <w:ilvl w:val="0"/>
          <w:numId w:val="4"/>
        </w:numPr>
        <w:jc w:val="both"/>
        <w:rPr>
          <w:sz w:val="28"/>
          <w:szCs w:val="28"/>
          <w:lang w:val="ru-RU"/>
        </w:rPr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Участие депутата МОД в инициировании проекта</w:t>
      </w:r>
    </w:p>
    <w:p>
      <w:pPr>
        <w:pStyle w:val="Normal.0"/>
        <w:ind w:firstLine="567"/>
        <w:jc w:val="both"/>
      </w:pPr>
      <w:r>
        <w:rPr>
          <w:rFonts w:ascii="Times New Roman" w:hAnsi="Times New Roman" w:hint="default"/>
          <w:sz w:val="28"/>
          <w:szCs w:val="28"/>
          <w:rtl w:val="0"/>
          <w:lang w:val="ru-RU"/>
        </w:rPr>
        <w:t>Информация об итогах конкурсного отбора будет размещена на официальном сайте ГУТП в сети интернет</w:t>
      </w:r>
      <w:r>
        <w:rPr>
          <w:rFonts w:ascii="Times New Roman" w:hAnsi="Times New Roman"/>
          <w:sz w:val="28"/>
          <w:szCs w:val="28"/>
          <w:rtl w:val="0"/>
          <w:lang w:val="ru-RU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Верхн./нижн. кол.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С числами"/>
  </w:abstractNum>
  <w:abstractNum w:abstractNumId="1">
    <w:multiLevelType w:val="hybrid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820"/>
        </w:tabs>
        <w:ind w:left="2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1620"/>
        </w:tabs>
        <w:ind w:left="10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2420"/>
        </w:tabs>
        <w:ind w:left="18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3220"/>
        </w:tabs>
        <w:ind w:left="26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4020"/>
        </w:tabs>
        <w:ind w:left="34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4820"/>
        </w:tabs>
        <w:ind w:left="42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5620"/>
        </w:tabs>
        <w:ind w:left="50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6420"/>
        </w:tabs>
        <w:ind w:left="58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7220"/>
        </w:tabs>
        <w:ind w:left="6653" w:firstLine="31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С буквами"/>
  </w:abstractNum>
  <w:abstractNum w:abstractNumId="3">
    <w:multiLevelType w:val="hybridMultilevel"/>
    <w:styleLink w:val="С буквами"/>
    <w:lvl w:ilvl="0">
      <w:start w:val="1"/>
      <w:numFmt w:val="decimal"/>
      <w:suff w:val="tab"/>
      <w:lvlText w:val="%1)"/>
      <w:lvlJc w:val="left"/>
      <w:pPr>
        <w:tabs>
          <w:tab w:val="num" w:pos="883"/>
        </w:tabs>
        <w:ind w:left="316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)"/>
      <w:lvlJc w:val="left"/>
      <w:pPr>
        <w:tabs>
          <w:tab w:val="num" w:pos="1883"/>
        </w:tabs>
        <w:ind w:left="1316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)"/>
      <w:lvlJc w:val="left"/>
      <w:pPr>
        <w:tabs>
          <w:tab w:val="num" w:pos="2883"/>
        </w:tabs>
        <w:ind w:left="2316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)"/>
      <w:lvlJc w:val="left"/>
      <w:pPr>
        <w:tabs>
          <w:tab w:val="num" w:pos="3883"/>
        </w:tabs>
        <w:ind w:left="3316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)"/>
      <w:lvlJc w:val="left"/>
      <w:pPr>
        <w:tabs>
          <w:tab w:val="num" w:pos="4883"/>
        </w:tabs>
        <w:ind w:left="4316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)"/>
      <w:lvlJc w:val="left"/>
      <w:pPr>
        <w:tabs>
          <w:tab w:val="num" w:pos="5883"/>
        </w:tabs>
        <w:ind w:left="5316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)"/>
      <w:lvlJc w:val="left"/>
      <w:pPr>
        <w:tabs>
          <w:tab w:val="num" w:pos="6883"/>
        </w:tabs>
        <w:ind w:left="6316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)"/>
      <w:lvlJc w:val="left"/>
      <w:pPr>
        <w:tabs>
          <w:tab w:val="num" w:pos="7883"/>
        </w:tabs>
        <w:ind w:left="7316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)"/>
      <w:lvlJc w:val="left"/>
      <w:pPr>
        <w:tabs>
          <w:tab w:val="num" w:pos="8883"/>
        </w:tabs>
        <w:ind w:left="8316" w:firstLine="2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Верхн./нижн. кол.">
    <w:name w:val="Верхн./нижн. кол."/>
    <w:next w:val="Верхн./нижн. кол.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Fill>
        <w14:solidFill>
          <w14:srgbClr w14:val="000000"/>
        </w14:solidFill>
      </w14:textFill>
    </w:rPr>
  </w:style>
  <w:style w:type="numbering" w:styleId="С числами">
    <w:name w:val="С числами"/>
    <w:pPr>
      <w:numPr>
        <w:numId w:val="1"/>
      </w:numPr>
    </w:p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numbering" w:styleId="С буквами">
    <w:name w:val="С буквами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