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C852" w14:textId="77777777" w:rsidR="00FB388D" w:rsidRPr="000A61EE" w:rsidRDefault="00FB388D" w:rsidP="00FB388D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0A61EE">
        <w:rPr>
          <w:rFonts w:ascii="Arial" w:eastAsia="Calibri" w:hAnsi="Arial" w:cs="Arial"/>
          <w:sz w:val="24"/>
          <w:szCs w:val="24"/>
        </w:rPr>
        <w:t>АДМИНИСТРАЦИЯ</w:t>
      </w:r>
    </w:p>
    <w:p w14:paraId="508BC8DB" w14:textId="77777777" w:rsidR="00FB388D" w:rsidRPr="000A61EE" w:rsidRDefault="00FB388D" w:rsidP="00FB388D">
      <w:pPr>
        <w:jc w:val="center"/>
        <w:rPr>
          <w:rFonts w:ascii="Arial" w:eastAsia="Calibri" w:hAnsi="Arial" w:cs="Arial"/>
          <w:sz w:val="24"/>
          <w:szCs w:val="24"/>
        </w:rPr>
      </w:pPr>
      <w:r w:rsidRPr="000A61E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DA555F3" w14:textId="77777777" w:rsidR="00FB388D" w:rsidRPr="000A61EE" w:rsidRDefault="00FB388D" w:rsidP="00FB388D">
      <w:pPr>
        <w:jc w:val="center"/>
        <w:rPr>
          <w:rFonts w:ascii="Arial" w:eastAsia="Calibri" w:hAnsi="Arial" w:cs="Arial"/>
          <w:sz w:val="24"/>
          <w:szCs w:val="24"/>
        </w:rPr>
      </w:pPr>
      <w:r w:rsidRPr="000A61EE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ADEFD54" w14:textId="77777777" w:rsidR="00FB388D" w:rsidRPr="000A61EE" w:rsidRDefault="00FB388D" w:rsidP="00FB388D">
      <w:pPr>
        <w:jc w:val="center"/>
        <w:rPr>
          <w:rFonts w:ascii="Arial" w:eastAsia="Calibri" w:hAnsi="Arial" w:cs="Arial"/>
          <w:sz w:val="24"/>
          <w:szCs w:val="24"/>
        </w:rPr>
      </w:pPr>
      <w:r w:rsidRPr="000A61EE">
        <w:rPr>
          <w:rFonts w:ascii="Arial" w:eastAsia="Calibri" w:hAnsi="Arial" w:cs="Arial"/>
          <w:sz w:val="24"/>
          <w:szCs w:val="24"/>
        </w:rPr>
        <w:t>ПОСТАНОВЛЕНИЕ</w:t>
      </w:r>
    </w:p>
    <w:p w14:paraId="07A9663F" w14:textId="77777777" w:rsidR="00FB388D" w:rsidRPr="000A61EE" w:rsidRDefault="00FB388D" w:rsidP="00FB388D">
      <w:pPr>
        <w:jc w:val="center"/>
        <w:rPr>
          <w:rFonts w:ascii="Arial" w:eastAsia="Calibri" w:hAnsi="Arial" w:cs="Arial"/>
          <w:sz w:val="24"/>
          <w:szCs w:val="24"/>
        </w:rPr>
      </w:pPr>
      <w:r w:rsidRPr="000A61EE">
        <w:rPr>
          <w:rFonts w:ascii="Arial" w:eastAsia="Calibri" w:hAnsi="Arial" w:cs="Arial"/>
          <w:sz w:val="24"/>
          <w:szCs w:val="24"/>
        </w:rPr>
        <w:t xml:space="preserve"> 21.09.2020 № 2395</w:t>
      </w:r>
    </w:p>
    <w:p w14:paraId="35844D6A" w14:textId="69FAE963" w:rsidR="00E30DE7" w:rsidRPr="000A61EE" w:rsidRDefault="00E30DE7" w:rsidP="00F7073E">
      <w:pPr>
        <w:rPr>
          <w:rFonts w:ascii="Arial" w:hAnsi="Arial" w:cs="Arial"/>
          <w:sz w:val="24"/>
          <w:szCs w:val="24"/>
        </w:rPr>
      </w:pPr>
    </w:p>
    <w:p w14:paraId="2F9AA936" w14:textId="77777777" w:rsidR="00DC2E8D" w:rsidRPr="000A61EE" w:rsidRDefault="00DC2E8D" w:rsidP="00F7073E">
      <w:pPr>
        <w:rPr>
          <w:rFonts w:ascii="Arial" w:hAnsi="Arial" w:cs="Arial"/>
          <w:sz w:val="24"/>
          <w:szCs w:val="24"/>
        </w:rPr>
      </w:pPr>
    </w:p>
    <w:p w14:paraId="5B5A3DF4" w14:textId="77777777" w:rsidR="00281428" w:rsidRPr="000A61EE" w:rsidRDefault="00281428" w:rsidP="00BB3A05">
      <w:pPr>
        <w:ind w:left="-142"/>
        <w:rPr>
          <w:rFonts w:ascii="Arial" w:hAnsi="Arial" w:cs="Arial"/>
          <w:sz w:val="24"/>
          <w:szCs w:val="24"/>
        </w:rPr>
      </w:pPr>
    </w:p>
    <w:tbl>
      <w:tblPr>
        <w:tblW w:w="0" w:type="dxa"/>
        <w:tblLook w:val="01E0" w:firstRow="1" w:lastRow="1" w:firstColumn="1" w:lastColumn="1" w:noHBand="0" w:noVBand="0"/>
      </w:tblPr>
      <w:tblGrid>
        <w:gridCol w:w="5353"/>
      </w:tblGrid>
      <w:tr w:rsidR="00E30DE7" w:rsidRPr="000A61EE" w14:paraId="456274EA" w14:textId="77777777" w:rsidTr="00FB388D">
        <w:trPr>
          <w:trHeight w:val="1901"/>
        </w:trPr>
        <w:tc>
          <w:tcPr>
            <w:tcW w:w="5353" w:type="dxa"/>
            <w:shd w:val="clear" w:color="auto" w:fill="auto"/>
          </w:tcPr>
          <w:p w14:paraId="3007A277" w14:textId="2DA8E06A" w:rsidR="00782325" w:rsidRPr="000A61EE" w:rsidRDefault="00984C36" w:rsidP="00782325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0A6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0A61E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0A61EE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0A61EE">
              <w:rPr>
                <w:rFonts w:ascii="Arial" w:hAnsi="Arial" w:cs="Arial"/>
                <w:sz w:val="24"/>
                <w:szCs w:val="24"/>
              </w:rPr>
              <w:t>программу</w:t>
            </w:r>
            <w:r w:rsidR="00FE5819" w:rsidRPr="000A6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1EE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0A61EE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0A61EE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14:paraId="2FF08D7E" w14:textId="77777777" w:rsidR="00782325" w:rsidRPr="000A61EE" w:rsidRDefault="00782325" w:rsidP="00782325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«</w:t>
            </w:r>
            <w:bookmarkStart w:id="1" w:name="_Hlk43372403"/>
            <w:r w:rsidRPr="000A61EE"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  <w:p w14:paraId="3A70E195" w14:textId="77777777" w:rsidR="00782325" w:rsidRPr="000A61EE" w:rsidRDefault="00782325" w:rsidP="00782325">
            <w:pPr>
              <w:tabs>
                <w:tab w:val="left" w:pos="540"/>
                <w:tab w:val="left" w:pos="810"/>
              </w:tabs>
              <w:spacing w:line="240" w:lineRule="atLeast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 муниципальными финансами</w:t>
            </w:r>
            <w:bookmarkEnd w:id="1"/>
            <w:r w:rsidRPr="000A61E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14:paraId="178ADD8F" w14:textId="77777777" w:rsidR="00281428" w:rsidRPr="000A61EE" w:rsidRDefault="00782325" w:rsidP="00782325">
            <w:pPr>
              <w:tabs>
                <w:tab w:val="left" w:pos="540"/>
                <w:tab w:val="left" w:pos="810"/>
              </w:tabs>
              <w:spacing w:line="240" w:lineRule="atLeast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6D2C1729" w14:textId="77777777" w:rsidR="0010094F" w:rsidRPr="000A61EE" w:rsidRDefault="0010094F" w:rsidP="00BB3A05">
      <w:pPr>
        <w:ind w:left="-567" w:firstLine="993"/>
        <w:jc w:val="both"/>
        <w:rPr>
          <w:rFonts w:ascii="Arial" w:eastAsia="Calibri" w:hAnsi="Arial" w:cs="Arial"/>
          <w:sz w:val="24"/>
          <w:szCs w:val="24"/>
        </w:rPr>
      </w:pPr>
    </w:p>
    <w:p w14:paraId="4F817E26" w14:textId="77777777" w:rsidR="00C979E5" w:rsidRPr="000A61EE" w:rsidRDefault="00C979E5" w:rsidP="00C979E5">
      <w:pPr>
        <w:ind w:left="-567" w:firstLine="993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3C21FF48" w:rsidR="00C979E5" w:rsidRPr="000A61EE" w:rsidRDefault="00C979E5" w:rsidP="00FB388D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A61EE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782325" w:rsidRPr="000A61EE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0A61EE">
        <w:rPr>
          <w:rFonts w:ascii="Arial" w:hAnsi="Arial" w:cs="Arial"/>
          <w:sz w:val="24"/>
          <w:szCs w:val="24"/>
        </w:rPr>
        <w:t>20.08.2019 № 313</w:t>
      </w:r>
      <w:r w:rsidRPr="000A61EE">
        <w:rPr>
          <w:rFonts w:ascii="Arial" w:hAnsi="Arial" w:cs="Arial"/>
          <w:sz w:val="24"/>
          <w:szCs w:val="24"/>
        </w:rPr>
        <w:t>, в связи</w:t>
      </w:r>
      <w:r w:rsidR="00143FE0" w:rsidRPr="000A61EE">
        <w:rPr>
          <w:rFonts w:ascii="Arial" w:hAnsi="Arial" w:cs="Arial"/>
          <w:sz w:val="24"/>
          <w:szCs w:val="24"/>
          <w:lang w:val="ru-RU"/>
        </w:rPr>
        <w:t xml:space="preserve"> с </w:t>
      </w:r>
      <w:r w:rsidR="001D7EC0" w:rsidRPr="000A61EE">
        <w:rPr>
          <w:rFonts w:ascii="Arial" w:hAnsi="Arial" w:cs="Arial"/>
          <w:sz w:val="24"/>
          <w:szCs w:val="24"/>
          <w:lang w:val="ru-RU"/>
        </w:rPr>
        <w:t xml:space="preserve">изменением </w:t>
      </w:r>
      <w:r w:rsidR="00782325" w:rsidRPr="000A61EE">
        <w:rPr>
          <w:rFonts w:ascii="Arial" w:hAnsi="Arial" w:cs="Arial"/>
          <w:sz w:val="24"/>
          <w:szCs w:val="24"/>
        </w:rPr>
        <w:t>объёмов</w:t>
      </w:r>
      <w:r w:rsidR="00F16F5B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Pr="000A61EE">
        <w:rPr>
          <w:rFonts w:ascii="Arial" w:hAnsi="Arial" w:cs="Arial"/>
          <w:sz w:val="24"/>
          <w:szCs w:val="24"/>
        </w:rPr>
        <w:t>финансирования</w:t>
      </w:r>
      <w:r w:rsidR="00782325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="009F7CDF" w:rsidRPr="000A61EE">
        <w:rPr>
          <w:rFonts w:ascii="Arial" w:hAnsi="Arial" w:cs="Arial"/>
          <w:sz w:val="24"/>
          <w:szCs w:val="24"/>
          <w:lang w:val="ru-RU"/>
        </w:rPr>
        <w:t>за счет средств бюджета Одинцовского городского округа</w:t>
      </w:r>
      <w:r w:rsidR="00B55F23" w:rsidRPr="000A61EE">
        <w:rPr>
          <w:rFonts w:ascii="Arial" w:hAnsi="Arial" w:cs="Arial"/>
          <w:sz w:val="24"/>
          <w:szCs w:val="24"/>
          <w:lang w:val="ru-RU"/>
        </w:rPr>
        <w:t xml:space="preserve"> Московской области</w:t>
      </w:r>
      <w:r w:rsidR="00F16F5B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Pr="000A61EE">
        <w:rPr>
          <w:rFonts w:ascii="Arial" w:hAnsi="Arial" w:cs="Arial"/>
          <w:sz w:val="24"/>
          <w:szCs w:val="24"/>
        </w:rPr>
        <w:t xml:space="preserve">на </w:t>
      </w:r>
      <w:r w:rsidR="00DC2E8D" w:rsidRPr="000A61EE">
        <w:rPr>
          <w:rFonts w:ascii="Arial" w:hAnsi="Arial" w:cs="Arial"/>
          <w:sz w:val="24"/>
          <w:szCs w:val="24"/>
          <w:lang w:val="ru-RU"/>
        </w:rPr>
        <w:t>2020</w:t>
      </w:r>
      <w:r w:rsidR="002B09C3" w:rsidRPr="000A61EE">
        <w:rPr>
          <w:rFonts w:ascii="Arial" w:hAnsi="Arial" w:cs="Arial"/>
          <w:sz w:val="24"/>
          <w:szCs w:val="24"/>
          <w:lang w:val="ru-RU"/>
        </w:rPr>
        <w:t xml:space="preserve">, </w:t>
      </w:r>
      <w:r w:rsidR="001D7EC0" w:rsidRPr="000A61EE">
        <w:rPr>
          <w:rFonts w:ascii="Arial" w:hAnsi="Arial" w:cs="Arial"/>
          <w:sz w:val="24"/>
          <w:szCs w:val="24"/>
          <w:lang w:val="ru-RU"/>
        </w:rPr>
        <w:t>202</w:t>
      </w:r>
      <w:r w:rsidR="002B09C3" w:rsidRPr="000A61EE">
        <w:rPr>
          <w:rFonts w:ascii="Arial" w:hAnsi="Arial" w:cs="Arial"/>
          <w:sz w:val="24"/>
          <w:szCs w:val="24"/>
          <w:lang w:val="ru-RU"/>
        </w:rPr>
        <w:t>2</w:t>
      </w:r>
      <w:r w:rsidR="001D7EC0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="00DC2E8D" w:rsidRPr="000A61EE">
        <w:rPr>
          <w:rFonts w:ascii="Arial" w:hAnsi="Arial" w:cs="Arial"/>
          <w:sz w:val="24"/>
          <w:szCs w:val="24"/>
          <w:lang w:val="ru-RU"/>
        </w:rPr>
        <w:t>год</w:t>
      </w:r>
      <w:r w:rsidR="001D7EC0" w:rsidRPr="000A61EE">
        <w:rPr>
          <w:rFonts w:ascii="Arial" w:hAnsi="Arial" w:cs="Arial"/>
          <w:sz w:val="24"/>
          <w:szCs w:val="24"/>
          <w:lang w:val="ru-RU"/>
        </w:rPr>
        <w:t>ы</w:t>
      </w:r>
      <w:r w:rsidR="00DC2E8D" w:rsidRPr="000A61EE">
        <w:rPr>
          <w:rFonts w:ascii="Arial" w:hAnsi="Arial" w:cs="Arial"/>
          <w:sz w:val="24"/>
          <w:szCs w:val="24"/>
          <w:lang w:val="ru-RU"/>
        </w:rPr>
        <w:t xml:space="preserve"> мероприятий</w:t>
      </w:r>
      <w:r w:rsidR="00554104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="002B09C3" w:rsidRPr="000A61EE">
        <w:rPr>
          <w:rFonts w:ascii="Arial" w:hAnsi="Arial" w:cs="Arial"/>
          <w:sz w:val="24"/>
          <w:szCs w:val="24"/>
          <w:lang w:val="ru-RU"/>
        </w:rPr>
        <w:t xml:space="preserve">подпрограмм </w:t>
      </w:r>
      <w:r w:rsidR="002B09C3" w:rsidRPr="000A61EE">
        <w:rPr>
          <w:rFonts w:ascii="Arial" w:hAnsi="Arial" w:cs="Arial"/>
          <w:sz w:val="24"/>
          <w:szCs w:val="24"/>
        </w:rPr>
        <w:t>«Развитие имущественного комплекса»</w:t>
      </w:r>
      <w:r w:rsidR="002B09C3" w:rsidRPr="000A61EE">
        <w:rPr>
          <w:rFonts w:ascii="Arial" w:hAnsi="Arial" w:cs="Arial"/>
          <w:sz w:val="24"/>
          <w:szCs w:val="24"/>
          <w:lang w:val="ru-RU"/>
        </w:rPr>
        <w:t>,</w:t>
      </w:r>
      <w:r w:rsidR="00AC72BF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="002B09C3" w:rsidRPr="000A61EE">
        <w:rPr>
          <w:rFonts w:ascii="Arial" w:hAnsi="Arial" w:cs="Arial"/>
          <w:sz w:val="24"/>
          <w:szCs w:val="24"/>
        </w:rPr>
        <w:t>«Обеспечивающая подпрограмма»</w:t>
      </w:r>
      <w:r w:rsidR="002B09C3" w:rsidRPr="000A61EE">
        <w:rPr>
          <w:rFonts w:ascii="Arial" w:hAnsi="Arial" w:cs="Arial"/>
          <w:sz w:val="24"/>
          <w:szCs w:val="24"/>
          <w:lang w:val="ru-RU"/>
        </w:rPr>
        <w:t xml:space="preserve"> </w:t>
      </w:r>
      <w:r w:rsidR="001D7EC0" w:rsidRPr="000A61EE">
        <w:rPr>
          <w:rFonts w:ascii="Arial" w:hAnsi="Arial" w:cs="Arial"/>
          <w:sz w:val="24"/>
          <w:szCs w:val="24"/>
        </w:rPr>
        <w:t>муниципальной</w:t>
      </w:r>
      <w:r w:rsidRPr="000A61EE">
        <w:rPr>
          <w:rFonts w:ascii="Arial" w:hAnsi="Arial" w:cs="Arial"/>
          <w:sz w:val="24"/>
          <w:szCs w:val="24"/>
        </w:rPr>
        <w:t xml:space="preserve"> программы Одинцовского </w:t>
      </w:r>
      <w:r w:rsidR="00782325" w:rsidRPr="000A61EE">
        <w:rPr>
          <w:rFonts w:ascii="Arial" w:hAnsi="Arial" w:cs="Arial"/>
          <w:sz w:val="24"/>
          <w:szCs w:val="24"/>
        </w:rPr>
        <w:t>городского округа</w:t>
      </w:r>
      <w:r w:rsidR="00E40694" w:rsidRPr="000A61EE">
        <w:rPr>
          <w:rFonts w:ascii="Arial" w:hAnsi="Arial" w:cs="Arial"/>
          <w:sz w:val="24"/>
          <w:szCs w:val="24"/>
          <w:lang w:val="ru-RU"/>
        </w:rPr>
        <w:t xml:space="preserve"> Московской области</w:t>
      </w:r>
      <w:r w:rsidRPr="000A61EE">
        <w:rPr>
          <w:rFonts w:ascii="Arial" w:hAnsi="Arial" w:cs="Arial"/>
          <w:sz w:val="24"/>
          <w:szCs w:val="24"/>
        </w:rPr>
        <w:t xml:space="preserve"> «</w:t>
      </w:r>
      <w:r w:rsidR="00782325" w:rsidRPr="000A61EE">
        <w:rPr>
          <w:rFonts w:ascii="Arial" w:hAnsi="Arial" w:cs="Arial"/>
          <w:sz w:val="24"/>
          <w:szCs w:val="24"/>
        </w:rPr>
        <w:t>Управление имуществом</w:t>
      </w:r>
      <w:r w:rsidRPr="000A61EE">
        <w:rPr>
          <w:rFonts w:ascii="Arial" w:hAnsi="Arial" w:cs="Arial"/>
          <w:sz w:val="24"/>
          <w:szCs w:val="24"/>
        </w:rPr>
        <w:t xml:space="preserve"> </w:t>
      </w:r>
      <w:r w:rsidR="00782325" w:rsidRPr="000A61EE">
        <w:rPr>
          <w:rFonts w:ascii="Arial" w:hAnsi="Arial" w:cs="Arial"/>
          <w:sz w:val="24"/>
          <w:szCs w:val="24"/>
        </w:rPr>
        <w:t>и муниципальными финансами</w:t>
      </w:r>
      <w:r w:rsidR="00E40694" w:rsidRPr="000A61EE">
        <w:rPr>
          <w:rFonts w:ascii="Arial" w:hAnsi="Arial" w:cs="Arial"/>
          <w:sz w:val="24"/>
          <w:szCs w:val="24"/>
        </w:rPr>
        <w:t>»</w:t>
      </w:r>
      <w:r w:rsidRPr="000A61EE">
        <w:rPr>
          <w:rFonts w:ascii="Arial" w:hAnsi="Arial" w:cs="Arial"/>
          <w:sz w:val="24"/>
          <w:szCs w:val="24"/>
        </w:rPr>
        <w:t xml:space="preserve"> </w:t>
      </w:r>
      <w:r w:rsidR="00E40694" w:rsidRPr="000A61EE">
        <w:rPr>
          <w:rFonts w:ascii="Arial" w:hAnsi="Arial" w:cs="Arial"/>
          <w:sz w:val="24"/>
          <w:szCs w:val="24"/>
        </w:rPr>
        <w:t>на 2020-2024 годы</w:t>
      </w:r>
      <w:r w:rsidRPr="000A61EE">
        <w:rPr>
          <w:rFonts w:ascii="Arial" w:hAnsi="Arial" w:cs="Arial"/>
          <w:sz w:val="24"/>
          <w:szCs w:val="24"/>
        </w:rPr>
        <w:t>,</w:t>
      </w:r>
    </w:p>
    <w:p w14:paraId="3A97B438" w14:textId="77777777" w:rsidR="00DC2E8D" w:rsidRPr="000A61EE" w:rsidRDefault="00DC2E8D" w:rsidP="00D53821">
      <w:pPr>
        <w:pStyle w:val="ac"/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8E988B4" w14:textId="77777777" w:rsidR="00C979E5" w:rsidRPr="000A61EE" w:rsidRDefault="00C979E5" w:rsidP="00D53821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0A61EE" w:rsidRDefault="00C979E5" w:rsidP="00D53821">
      <w:pPr>
        <w:pStyle w:val="30"/>
        <w:spacing w:after="0"/>
        <w:ind w:firstLine="709"/>
        <w:rPr>
          <w:rFonts w:ascii="Arial" w:hAnsi="Arial" w:cs="Arial"/>
          <w:sz w:val="24"/>
          <w:szCs w:val="24"/>
        </w:rPr>
      </w:pPr>
    </w:p>
    <w:p w14:paraId="288DF3F4" w14:textId="4BB02E16" w:rsidR="00C979E5" w:rsidRPr="000A61EE" w:rsidRDefault="00C979E5" w:rsidP="00FB38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61EE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0A61EE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0A61EE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0A61EE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0A61EE">
        <w:rPr>
          <w:rFonts w:ascii="Arial" w:hAnsi="Arial" w:cs="Arial"/>
          <w:sz w:val="24"/>
          <w:szCs w:val="24"/>
        </w:rPr>
        <w:t xml:space="preserve">от </w:t>
      </w:r>
      <w:r w:rsidR="00E40694" w:rsidRPr="000A61EE">
        <w:rPr>
          <w:rFonts w:ascii="Arial" w:hAnsi="Arial" w:cs="Arial"/>
          <w:sz w:val="24"/>
          <w:szCs w:val="24"/>
        </w:rPr>
        <w:t>30.10.2019</w:t>
      </w:r>
      <w:r w:rsidRPr="000A61EE">
        <w:rPr>
          <w:rFonts w:ascii="Arial" w:hAnsi="Arial" w:cs="Arial"/>
          <w:sz w:val="24"/>
          <w:szCs w:val="24"/>
        </w:rPr>
        <w:t xml:space="preserve"> № </w:t>
      </w:r>
      <w:r w:rsidR="00E40694" w:rsidRPr="000A61EE">
        <w:rPr>
          <w:rFonts w:ascii="Arial" w:hAnsi="Arial" w:cs="Arial"/>
          <w:sz w:val="24"/>
          <w:szCs w:val="24"/>
        </w:rPr>
        <w:t>1265</w:t>
      </w:r>
      <w:r w:rsidR="00130660" w:rsidRPr="000A61EE">
        <w:rPr>
          <w:rFonts w:ascii="Arial" w:hAnsi="Arial" w:cs="Arial"/>
          <w:sz w:val="24"/>
          <w:szCs w:val="24"/>
        </w:rPr>
        <w:t xml:space="preserve"> (в редакции от </w:t>
      </w:r>
      <w:r w:rsidR="00B7147B" w:rsidRPr="000A61EE">
        <w:rPr>
          <w:rFonts w:ascii="Arial" w:hAnsi="Arial" w:cs="Arial"/>
          <w:sz w:val="24"/>
          <w:szCs w:val="24"/>
        </w:rPr>
        <w:t>18</w:t>
      </w:r>
      <w:r w:rsidR="00130660" w:rsidRPr="000A61EE">
        <w:rPr>
          <w:rFonts w:ascii="Arial" w:hAnsi="Arial" w:cs="Arial"/>
          <w:sz w:val="24"/>
          <w:szCs w:val="24"/>
        </w:rPr>
        <w:t>.0</w:t>
      </w:r>
      <w:r w:rsidR="00B7147B" w:rsidRPr="000A61EE">
        <w:rPr>
          <w:rFonts w:ascii="Arial" w:hAnsi="Arial" w:cs="Arial"/>
          <w:sz w:val="24"/>
          <w:szCs w:val="24"/>
        </w:rPr>
        <w:t>6</w:t>
      </w:r>
      <w:r w:rsidR="00130660" w:rsidRPr="000A61EE">
        <w:rPr>
          <w:rFonts w:ascii="Arial" w:hAnsi="Arial" w:cs="Arial"/>
          <w:sz w:val="24"/>
          <w:szCs w:val="24"/>
        </w:rPr>
        <w:t xml:space="preserve">.2020 № </w:t>
      </w:r>
      <w:r w:rsidR="00E10BBB" w:rsidRPr="000A61EE">
        <w:rPr>
          <w:rFonts w:ascii="Arial" w:hAnsi="Arial" w:cs="Arial"/>
          <w:sz w:val="24"/>
          <w:szCs w:val="24"/>
        </w:rPr>
        <w:t>1</w:t>
      </w:r>
      <w:r w:rsidR="00B7147B" w:rsidRPr="000A61EE">
        <w:rPr>
          <w:rFonts w:ascii="Arial" w:hAnsi="Arial" w:cs="Arial"/>
          <w:sz w:val="24"/>
          <w:szCs w:val="24"/>
        </w:rPr>
        <w:t>443</w:t>
      </w:r>
      <w:r w:rsidR="00DC2E8D" w:rsidRPr="000A61EE">
        <w:rPr>
          <w:rFonts w:ascii="Arial" w:hAnsi="Arial" w:cs="Arial"/>
          <w:sz w:val="24"/>
          <w:szCs w:val="24"/>
        </w:rPr>
        <w:t xml:space="preserve">) </w:t>
      </w:r>
      <w:r w:rsidRPr="000A61EE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8D49993" w14:textId="77777777" w:rsidR="005B1F1E" w:rsidRPr="000A61EE" w:rsidRDefault="005B1F1E" w:rsidP="00FB3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1.1. 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3F14969C" w14:textId="052957E4" w:rsidR="002D7EE8" w:rsidRPr="000A61EE" w:rsidRDefault="002D7EE8" w:rsidP="00FB388D">
      <w:pPr>
        <w:rPr>
          <w:rFonts w:ascii="Arial" w:hAnsi="Arial" w:cs="Arial"/>
          <w:sz w:val="24"/>
          <w:szCs w:val="24"/>
        </w:rPr>
      </w:pPr>
    </w:p>
    <w:p w14:paraId="13E2C254" w14:textId="77777777" w:rsidR="00715A96" w:rsidRPr="000A61EE" w:rsidRDefault="00715A96" w:rsidP="00FB388D">
      <w:pPr>
        <w:ind w:hanging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 </w:t>
      </w:r>
      <w:r w:rsidR="00D12EC9" w:rsidRPr="000A61EE">
        <w:rPr>
          <w:rFonts w:ascii="Arial" w:hAnsi="Arial" w:cs="Arial"/>
          <w:sz w:val="24"/>
          <w:szCs w:val="24"/>
        </w:rPr>
        <w:t xml:space="preserve">       </w:t>
      </w:r>
      <w:r w:rsidRPr="000A61E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6"/>
        <w:gridCol w:w="1415"/>
        <w:gridCol w:w="1417"/>
        <w:gridCol w:w="1415"/>
        <w:gridCol w:w="1427"/>
        <w:gridCol w:w="1415"/>
      </w:tblGrid>
      <w:tr w:rsidR="00E30DE7" w:rsidRPr="000A61EE" w14:paraId="12D7DC10" w14:textId="77777777" w:rsidTr="00FB388D">
        <w:trPr>
          <w:trHeight w:val="372"/>
          <w:tblCellSpacing w:w="5" w:type="nil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DA51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7BD55267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738B9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E30DE7" w:rsidRPr="000A61EE" w14:paraId="67C749AE" w14:textId="77777777" w:rsidTr="00FB388D">
        <w:trPr>
          <w:trHeight w:val="433"/>
          <w:tblCellSpacing w:w="5" w:type="nil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216E5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53B29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B8A5C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A5A4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A6397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579E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D3857" w14:textId="77777777" w:rsidR="00D12EC9" w:rsidRPr="000A61EE" w:rsidRDefault="00D12EC9" w:rsidP="00D12E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2261E0" w:rsidRPr="000A61EE" w14:paraId="5A13E4B5" w14:textId="77777777" w:rsidTr="00FB388D">
        <w:trPr>
          <w:trHeight w:val="407"/>
          <w:tblCellSpacing w:w="5" w:type="nil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27D83" w14:textId="77777777" w:rsidR="002261E0" w:rsidRPr="000A61EE" w:rsidRDefault="002261E0" w:rsidP="002261E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FA9B" w14:textId="51DB9C71" w:rsidR="002261E0" w:rsidRPr="000A61EE" w:rsidRDefault="002261E0" w:rsidP="002261E0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26 502,00000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FB5A" w14:textId="4FA2CD60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8CE1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75DC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13B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9327" w14:textId="77777777" w:rsidR="002261E0" w:rsidRPr="000A61EE" w:rsidRDefault="002261E0" w:rsidP="002261E0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A61EE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2261E0" w:rsidRPr="000A61EE" w14:paraId="46F55CC3" w14:textId="77777777" w:rsidTr="00FB388D">
        <w:trPr>
          <w:trHeight w:val="541"/>
          <w:tblCellSpacing w:w="5" w:type="nil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DAB" w14:textId="77777777" w:rsidR="002261E0" w:rsidRPr="000A61EE" w:rsidRDefault="002261E0" w:rsidP="002261E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</w:t>
            </w: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 городского округа Московской области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D7749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8C5927" w14:textId="77B61D4C" w:rsidR="00EA2395" w:rsidRPr="000A61EE" w:rsidRDefault="00F13936" w:rsidP="00EA239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10 010 782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226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22</w:t>
            </w:r>
          </w:p>
          <w:p w14:paraId="7F814FEB" w14:textId="77777777" w:rsidR="002261E0" w:rsidRPr="000A61EE" w:rsidRDefault="002261E0" w:rsidP="002261E0">
            <w:pPr>
              <w:suppressAutoHyphens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E6E8" w14:textId="3C71804B" w:rsidR="002261E0" w:rsidRPr="000A61EE" w:rsidRDefault="00D92783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2 011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205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27197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187E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E54D2" w14:textId="4074EE8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2 008 141,40900</w:t>
            </w:r>
          </w:p>
          <w:p w14:paraId="4628B4DC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F3B15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FE506" w14:textId="77777777" w:rsidR="00EA2395" w:rsidRPr="000A61EE" w:rsidRDefault="00EA2395" w:rsidP="00EA239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2 010 617,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88725</w:t>
            </w:r>
          </w:p>
          <w:p w14:paraId="6D1B1837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CDECE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2 015 908,82900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C632C" w14:textId="77777777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2261E0" w:rsidRPr="000A61EE" w14:paraId="1A91835E" w14:textId="77777777" w:rsidTr="00FB388D">
        <w:trPr>
          <w:trHeight w:val="555"/>
          <w:tblCellSpacing w:w="5" w:type="nil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46D25" w14:textId="77777777" w:rsidR="002261E0" w:rsidRPr="000A61EE" w:rsidRDefault="002261E0" w:rsidP="002261E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A61EE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350C0925" w14:textId="77777777" w:rsidR="002261E0" w:rsidRPr="000A61EE" w:rsidRDefault="002261E0" w:rsidP="002261E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7AF14" w14:textId="32B4D744" w:rsidR="002261E0" w:rsidRPr="000A61EE" w:rsidRDefault="00F1393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037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284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22622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558D" w14:textId="47BDDB03" w:rsidR="002261E0" w:rsidRPr="000A61EE" w:rsidRDefault="00D92783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2 037 707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271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97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2E069" w14:textId="7F18784D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2 008 141,40900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7DC0F" w14:textId="2C245FD9" w:rsidR="002261E0" w:rsidRPr="000A61EE" w:rsidRDefault="00EA2395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2 010 617,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88725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202F7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2 015 908,82900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9D91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1BC8D093" w14:textId="3C3E8FDD" w:rsidR="00414E2D" w:rsidRPr="000A61EE" w:rsidRDefault="00D12EC9" w:rsidP="009F3BC4">
      <w:pPr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           </w:t>
      </w:r>
      <w:r w:rsidR="00715A96" w:rsidRPr="000A61EE">
        <w:rPr>
          <w:rFonts w:ascii="Arial" w:hAnsi="Arial" w:cs="Arial"/>
          <w:sz w:val="24"/>
          <w:szCs w:val="24"/>
        </w:rPr>
        <w:t>»</w:t>
      </w:r>
      <w:r w:rsidR="00B55F23" w:rsidRPr="000A61EE">
        <w:rPr>
          <w:rFonts w:ascii="Arial" w:hAnsi="Arial" w:cs="Arial"/>
          <w:sz w:val="24"/>
          <w:szCs w:val="24"/>
        </w:rPr>
        <w:t>.</w:t>
      </w:r>
    </w:p>
    <w:p w14:paraId="0E5C79CF" w14:textId="4B3A5DCD" w:rsidR="009F3BC4" w:rsidRPr="000A61EE" w:rsidRDefault="009F3BC4" w:rsidP="00FB388D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1.2.  Подраздел 5.1. раздела </w:t>
      </w:r>
      <w:r w:rsidR="00D57BFD" w:rsidRPr="000A61EE">
        <w:rPr>
          <w:rFonts w:ascii="Arial" w:hAnsi="Arial" w:cs="Arial"/>
          <w:sz w:val="24"/>
          <w:szCs w:val="24"/>
        </w:rPr>
        <w:t>5 «</w:t>
      </w:r>
      <w:r w:rsidR="002B09C3" w:rsidRPr="000A61EE">
        <w:rPr>
          <w:rFonts w:ascii="Arial" w:hAnsi="Arial" w:cs="Arial"/>
          <w:sz w:val="24"/>
          <w:szCs w:val="24"/>
        </w:rPr>
        <w:t>Подп</w:t>
      </w:r>
      <w:r w:rsidR="00D57BFD" w:rsidRPr="000A61EE">
        <w:rPr>
          <w:rFonts w:ascii="Arial" w:hAnsi="Arial" w:cs="Arial"/>
          <w:sz w:val="24"/>
          <w:szCs w:val="24"/>
        </w:rPr>
        <w:t>рограмма «Развитие имущественного комплекса» Муниципальной программы изложить в следующей редакции:</w:t>
      </w:r>
    </w:p>
    <w:p w14:paraId="64107B79" w14:textId="77777777" w:rsidR="00D57BFD" w:rsidRPr="000A61EE" w:rsidRDefault="00D57BFD" w:rsidP="00FB388D">
      <w:pPr>
        <w:pStyle w:val="ConsPlusNormal"/>
        <w:shd w:val="clear" w:color="auto" w:fill="FFFFFF" w:themeFill="background1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«5.1. ПАСПОРТ ПОДПРОГРАММЫ </w:t>
      </w:r>
    </w:p>
    <w:p w14:paraId="7656A303" w14:textId="268EFE23" w:rsidR="00AF23D4" w:rsidRPr="000A61EE" w:rsidRDefault="00D57BFD" w:rsidP="00FB388D">
      <w:pPr>
        <w:pStyle w:val="ConsPlusNormal"/>
        <w:shd w:val="clear" w:color="auto" w:fill="FFFFFF" w:themeFill="background1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«Развитие имущественного комплекса».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288"/>
        <w:gridCol w:w="1344"/>
        <w:gridCol w:w="900"/>
        <w:gridCol w:w="1128"/>
        <w:gridCol w:w="1128"/>
        <w:gridCol w:w="1128"/>
        <w:gridCol w:w="1128"/>
        <w:gridCol w:w="900"/>
      </w:tblGrid>
      <w:tr w:rsidR="00DE4DA6" w:rsidRPr="000A61EE" w14:paraId="2C2F0A79" w14:textId="77777777" w:rsidTr="00FB388D">
        <w:trPr>
          <w:trHeight w:val="577"/>
        </w:trPr>
        <w:tc>
          <w:tcPr>
            <w:tcW w:w="1143" w:type="dxa"/>
          </w:tcPr>
          <w:p w14:paraId="39CB5E4B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75" w:type="dxa"/>
          </w:tcPr>
          <w:p w14:paraId="49ED3811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8" w:type="dxa"/>
            <w:gridSpan w:val="7"/>
            <w:vAlign w:val="center"/>
          </w:tcPr>
          <w:p w14:paraId="2C8CAF55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DE4DA6" w:rsidRPr="000A61EE" w14:paraId="0C28983D" w14:textId="77777777" w:rsidTr="00FB388D">
        <w:trPr>
          <w:trHeight w:val="20"/>
        </w:trPr>
        <w:tc>
          <w:tcPr>
            <w:tcW w:w="1143" w:type="dxa"/>
            <w:vMerge w:val="restart"/>
          </w:tcPr>
          <w:p w14:paraId="23B19F72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5" w:type="dxa"/>
            <w:vMerge w:val="restart"/>
          </w:tcPr>
          <w:p w14:paraId="703EA9EF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2F0A27A4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57" w:type="dxa"/>
            <w:gridSpan w:val="6"/>
          </w:tcPr>
          <w:p w14:paraId="339F951F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E4DA6" w:rsidRPr="000A61EE" w14:paraId="7AA621DA" w14:textId="77777777" w:rsidTr="00FB388D">
        <w:trPr>
          <w:trHeight w:val="395"/>
        </w:trPr>
        <w:tc>
          <w:tcPr>
            <w:tcW w:w="1143" w:type="dxa"/>
            <w:vMerge/>
          </w:tcPr>
          <w:p w14:paraId="0C6504B3" w14:textId="77777777" w:rsidR="00DE4DA6" w:rsidRPr="000A61EE" w:rsidRDefault="00DE4DA6" w:rsidP="00C46AC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1A7204C5" w14:textId="77777777" w:rsidR="00DE4DA6" w:rsidRPr="000A61EE" w:rsidRDefault="00DE4DA6" w:rsidP="00C46ACE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32DC6D2" w14:textId="77777777" w:rsidR="00DE4DA6" w:rsidRPr="000A61EE" w:rsidRDefault="00DE4DA6" w:rsidP="00C46AC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2E31242E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1" w:type="dxa"/>
            <w:vAlign w:val="center"/>
          </w:tcPr>
          <w:p w14:paraId="2E45D3E6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11" w:type="dxa"/>
            <w:vAlign w:val="center"/>
          </w:tcPr>
          <w:p w14:paraId="47DEFA91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4" w:type="dxa"/>
            <w:vAlign w:val="center"/>
          </w:tcPr>
          <w:p w14:paraId="503F689D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9" w:type="dxa"/>
            <w:vAlign w:val="center"/>
          </w:tcPr>
          <w:p w14:paraId="2B9D2401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4" w:type="dxa"/>
            <w:vAlign w:val="center"/>
          </w:tcPr>
          <w:p w14:paraId="467B1374" w14:textId="77777777" w:rsidR="00DE4DA6" w:rsidRPr="000A61EE" w:rsidRDefault="00DE4DA6" w:rsidP="00C46AC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261E0" w:rsidRPr="000A61EE" w14:paraId="2E61DB80" w14:textId="77777777" w:rsidTr="00FB388D">
        <w:trPr>
          <w:trHeight w:val="489"/>
        </w:trPr>
        <w:tc>
          <w:tcPr>
            <w:tcW w:w="1143" w:type="dxa"/>
            <w:vMerge/>
          </w:tcPr>
          <w:p w14:paraId="526DAACB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14:paraId="70BD6E4A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43E1EAA" w14:textId="7D8A43D6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6E2B2F54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09C3A5FA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vAlign w:val="center"/>
          </w:tcPr>
          <w:p w14:paraId="31C3100F" w14:textId="2A0A2D18" w:rsidR="002261E0" w:rsidRPr="000A61EE" w:rsidRDefault="00EA2395" w:rsidP="002261E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D92783" w:rsidRPr="000A61E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2783" w:rsidRPr="000A61E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08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,25417</w:t>
            </w:r>
          </w:p>
        </w:tc>
        <w:tc>
          <w:tcPr>
            <w:tcW w:w="1111" w:type="dxa"/>
            <w:vAlign w:val="center"/>
          </w:tcPr>
          <w:p w14:paraId="234BD7AF" w14:textId="30166593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111" w:type="dxa"/>
            <w:vAlign w:val="center"/>
          </w:tcPr>
          <w:p w14:paraId="2F9E0BF3" w14:textId="114675DC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154" w:type="dxa"/>
            <w:vAlign w:val="center"/>
          </w:tcPr>
          <w:p w14:paraId="5D3D25AB" w14:textId="5D5C42DC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129" w:type="dxa"/>
            <w:vAlign w:val="center"/>
          </w:tcPr>
          <w:p w14:paraId="0DDAFA66" w14:textId="345B5AE4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264" w:type="dxa"/>
            <w:vAlign w:val="center"/>
          </w:tcPr>
          <w:p w14:paraId="24C4D666" w14:textId="396E7EE0" w:rsidR="002261E0" w:rsidRPr="000A61EE" w:rsidRDefault="00EA2395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42</w:t>
            </w:r>
            <w:r w:rsidR="00D92783" w:rsidRPr="000A61EE">
              <w:rPr>
                <w:rFonts w:ascii="Arial" w:hAnsi="Arial" w:cs="Arial"/>
                <w:sz w:val="24"/>
                <w:szCs w:val="24"/>
              </w:rPr>
              <w:t>6</w:t>
            </w:r>
            <w:r w:rsidRPr="000A6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783" w:rsidRPr="000A61EE">
              <w:rPr>
                <w:rFonts w:ascii="Arial" w:hAnsi="Arial" w:cs="Arial"/>
                <w:sz w:val="24"/>
                <w:szCs w:val="24"/>
              </w:rPr>
              <w:t>8</w:t>
            </w:r>
            <w:r w:rsidRPr="000A61EE">
              <w:rPr>
                <w:rFonts w:ascii="Arial" w:hAnsi="Arial" w:cs="Arial"/>
                <w:sz w:val="24"/>
                <w:szCs w:val="24"/>
              </w:rPr>
              <w:t>5</w:t>
            </w:r>
            <w:r w:rsidRPr="000A61E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61EE">
              <w:rPr>
                <w:rFonts w:ascii="Arial" w:hAnsi="Arial" w:cs="Arial"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61EE">
              <w:rPr>
                <w:rFonts w:ascii="Arial" w:hAnsi="Arial" w:cs="Arial"/>
                <w:sz w:val="24"/>
                <w:szCs w:val="24"/>
              </w:rPr>
              <w:t>8217</w:t>
            </w:r>
          </w:p>
        </w:tc>
      </w:tr>
      <w:tr w:rsidR="002261E0" w:rsidRPr="000A61EE" w14:paraId="391EF622" w14:textId="77777777" w:rsidTr="00FB388D">
        <w:trPr>
          <w:trHeight w:val="605"/>
        </w:trPr>
        <w:tc>
          <w:tcPr>
            <w:tcW w:w="1143" w:type="dxa"/>
            <w:vMerge/>
          </w:tcPr>
          <w:p w14:paraId="7B2E8C2C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43C4698C" w14:textId="5124181A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111F98C" w14:textId="7FE55BC2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8" w:type="dxa"/>
            <w:vAlign w:val="center"/>
          </w:tcPr>
          <w:p w14:paraId="099F59F6" w14:textId="3960BD19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11" w:type="dxa"/>
            <w:vAlign w:val="center"/>
          </w:tcPr>
          <w:p w14:paraId="414AEDA3" w14:textId="587A9176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11" w:type="dxa"/>
            <w:vAlign w:val="center"/>
          </w:tcPr>
          <w:p w14:paraId="728B53B0" w14:textId="1EFFCF42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4" w:type="dxa"/>
            <w:vAlign w:val="center"/>
          </w:tcPr>
          <w:p w14:paraId="66168018" w14:textId="785B4BFD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29" w:type="dxa"/>
            <w:vAlign w:val="center"/>
          </w:tcPr>
          <w:p w14:paraId="083D0DFC" w14:textId="1A54DFF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64" w:type="dxa"/>
            <w:vAlign w:val="center"/>
          </w:tcPr>
          <w:p w14:paraId="294E3A4A" w14:textId="29A76F05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</w:tr>
      <w:tr w:rsidR="002261E0" w:rsidRPr="000A61EE" w14:paraId="2EC71EFA" w14:textId="77777777" w:rsidTr="00FB388D">
        <w:trPr>
          <w:trHeight w:val="20"/>
        </w:trPr>
        <w:tc>
          <w:tcPr>
            <w:tcW w:w="1143" w:type="dxa"/>
            <w:vMerge/>
          </w:tcPr>
          <w:p w14:paraId="73D55A9A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5B01C77F" w14:textId="56522EA9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E4F2F39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88" w:type="dxa"/>
            <w:vAlign w:val="center"/>
          </w:tcPr>
          <w:p w14:paraId="6ED3809C" w14:textId="0C26002F" w:rsidR="002261E0" w:rsidRPr="000A61EE" w:rsidRDefault="00EA2395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D92783" w:rsidRPr="000A61E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2783" w:rsidRPr="000A61E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06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,25417</w:t>
            </w:r>
          </w:p>
        </w:tc>
        <w:tc>
          <w:tcPr>
            <w:tcW w:w="1111" w:type="dxa"/>
            <w:vAlign w:val="center"/>
          </w:tcPr>
          <w:p w14:paraId="42F9D7E2" w14:textId="1AFE190C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111" w:type="dxa"/>
            <w:vAlign w:val="center"/>
          </w:tcPr>
          <w:p w14:paraId="05DBD2A5" w14:textId="0CFFD0C4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154" w:type="dxa"/>
            <w:vAlign w:val="center"/>
          </w:tcPr>
          <w:p w14:paraId="5D2CB9BD" w14:textId="187F0680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129" w:type="dxa"/>
            <w:vAlign w:val="center"/>
          </w:tcPr>
          <w:p w14:paraId="17DE7189" w14:textId="4409870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264" w:type="dxa"/>
            <w:vAlign w:val="center"/>
          </w:tcPr>
          <w:p w14:paraId="4BB6617F" w14:textId="718FED4E" w:rsidR="002261E0" w:rsidRPr="000A61EE" w:rsidRDefault="00D92783" w:rsidP="00EA23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400</w:t>
            </w:r>
            <w:r w:rsidR="00EA2395" w:rsidRPr="000A6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1EE">
              <w:rPr>
                <w:rFonts w:ascii="Arial" w:hAnsi="Arial" w:cs="Arial"/>
                <w:sz w:val="24"/>
                <w:szCs w:val="24"/>
              </w:rPr>
              <w:t>3</w:t>
            </w:r>
            <w:r w:rsidR="00EA2395" w:rsidRPr="000A61EE">
              <w:rPr>
                <w:rFonts w:ascii="Arial" w:hAnsi="Arial" w:cs="Arial"/>
                <w:sz w:val="24"/>
                <w:szCs w:val="24"/>
              </w:rPr>
              <w:t>57,</w:t>
            </w:r>
            <w:r w:rsidR="00EA2395" w:rsidRPr="000A61E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EA2395" w:rsidRPr="000A61EE">
              <w:rPr>
                <w:rFonts w:ascii="Arial" w:hAnsi="Arial" w:cs="Arial"/>
                <w:sz w:val="24"/>
                <w:szCs w:val="24"/>
              </w:rPr>
              <w:t>8217</w:t>
            </w:r>
          </w:p>
        </w:tc>
      </w:tr>
    </w:tbl>
    <w:p w14:paraId="1364D822" w14:textId="05699EF3" w:rsidR="00D57BFD" w:rsidRPr="000A61EE" w:rsidRDefault="00AF23D4" w:rsidP="00AF23D4">
      <w:pPr>
        <w:pStyle w:val="ConsPlusNormal"/>
        <w:shd w:val="clear" w:color="auto" w:fill="FFFFFF" w:themeFill="background1"/>
        <w:suppressAutoHyphens/>
        <w:ind w:left="-567" w:right="-113"/>
        <w:jc w:val="right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».</w:t>
      </w:r>
    </w:p>
    <w:p w14:paraId="01F6566C" w14:textId="0E88229E" w:rsidR="00027BC1" w:rsidRPr="000A61EE" w:rsidRDefault="00F91B66" w:rsidP="00FB388D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1.</w:t>
      </w:r>
      <w:r w:rsidR="00B7147B" w:rsidRPr="000A61EE">
        <w:rPr>
          <w:rFonts w:ascii="Arial" w:hAnsi="Arial" w:cs="Arial"/>
          <w:sz w:val="24"/>
          <w:szCs w:val="24"/>
        </w:rPr>
        <w:t>3</w:t>
      </w:r>
      <w:r w:rsidR="00FE7023" w:rsidRPr="000A61EE">
        <w:rPr>
          <w:rFonts w:ascii="Arial" w:hAnsi="Arial" w:cs="Arial"/>
          <w:sz w:val="24"/>
          <w:szCs w:val="24"/>
        </w:rPr>
        <w:t>. Подраздел</w:t>
      </w:r>
      <w:r w:rsidR="00E407F8" w:rsidRPr="000A61EE">
        <w:rPr>
          <w:rFonts w:ascii="Arial" w:hAnsi="Arial" w:cs="Arial"/>
          <w:sz w:val="24"/>
          <w:szCs w:val="24"/>
        </w:rPr>
        <w:t xml:space="preserve"> 8.1. раздела 8 «Подпрограмма</w:t>
      </w:r>
      <w:r w:rsidR="006E2977" w:rsidRPr="000A61EE">
        <w:rPr>
          <w:rFonts w:ascii="Arial" w:hAnsi="Arial" w:cs="Arial"/>
          <w:sz w:val="24"/>
          <w:szCs w:val="24"/>
        </w:rPr>
        <w:t xml:space="preserve"> </w:t>
      </w:r>
      <w:r w:rsidR="00D21C70" w:rsidRPr="000A61EE">
        <w:rPr>
          <w:rFonts w:ascii="Arial" w:hAnsi="Arial" w:cs="Arial"/>
          <w:sz w:val="24"/>
          <w:szCs w:val="24"/>
        </w:rPr>
        <w:t>«</w:t>
      </w:r>
      <w:r w:rsidR="006E2977" w:rsidRPr="000A61EE">
        <w:rPr>
          <w:rFonts w:ascii="Arial" w:hAnsi="Arial" w:cs="Arial"/>
          <w:sz w:val="24"/>
          <w:szCs w:val="24"/>
        </w:rPr>
        <w:t>Обеспечивающая подпрограмма</w:t>
      </w:r>
      <w:r w:rsidR="00D21C70" w:rsidRPr="000A61EE">
        <w:rPr>
          <w:rFonts w:ascii="Arial" w:hAnsi="Arial" w:cs="Arial"/>
          <w:sz w:val="24"/>
          <w:szCs w:val="24"/>
        </w:rPr>
        <w:t xml:space="preserve">» </w:t>
      </w:r>
      <w:r w:rsidR="00FE7023" w:rsidRPr="000A61EE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407F8" w:rsidRPr="000A61EE">
        <w:rPr>
          <w:rFonts w:ascii="Arial" w:hAnsi="Arial" w:cs="Arial"/>
          <w:sz w:val="24"/>
          <w:szCs w:val="24"/>
        </w:rPr>
        <w:t>изложить в следующей редакции</w:t>
      </w:r>
      <w:r w:rsidR="00027BC1" w:rsidRPr="000A61EE">
        <w:rPr>
          <w:rFonts w:ascii="Arial" w:hAnsi="Arial" w:cs="Arial"/>
          <w:sz w:val="24"/>
          <w:szCs w:val="24"/>
        </w:rPr>
        <w:t>:</w:t>
      </w:r>
    </w:p>
    <w:p w14:paraId="625E177E" w14:textId="77777777" w:rsidR="00FE7023" w:rsidRPr="000A61EE" w:rsidRDefault="001E1F9C" w:rsidP="00FB388D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     </w:t>
      </w:r>
      <w:r w:rsidR="00027BC1" w:rsidRPr="000A61EE">
        <w:rPr>
          <w:rFonts w:ascii="Arial" w:hAnsi="Arial" w:cs="Arial"/>
          <w:sz w:val="24"/>
          <w:szCs w:val="24"/>
        </w:rPr>
        <w:t>«</w:t>
      </w:r>
      <w:r w:rsidR="00FE7023" w:rsidRPr="000A61EE">
        <w:rPr>
          <w:rFonts w:ascii="Arial" w:hAnsi="Arial" w:cs="Arial"/>
          <w:bCs/>
          <w:kern w:val="36"/>
          <w:sz w:val="24"/>
          <w:szCs w:val="24"/>
        </w:rPr>
        <w:t xml:space="preserve">8.1. ПАСПОРТ ПОДПРОГРАММЫ </w:t>
      </w:r>
    </w:p>
    <w:p w14:paraId="1B70B091" w14:textId="0FC6A486" w:rsidR="00AF23D4" w:rsidRPr="000A61EE" w:rsidRDefault="00FE7023" w:rsidP="00FB388D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«Обеспечивающая подпрограмма».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4"/>
        <w:gridCol w:w="1295"/>
        <w:gridCol w:w="1208"/>
        <w:gridCol w:w="1097"/>
        <w:gridCol w:w="1097"/>
        <w:gridCol w:w="1097"/>
        <w:gridCol w:w="1097"/>
        <w:gridCol w:w="1097"/>
        <w:gridCol w:w="1097"/>
      </w:tblGrid>
      <w:tr w:rsidR="00E30DE7" w:rsidRPr="000A61EE" w14:paraId="2B9BEE41" w14:textId="77777777" w:rsidTr="00FB388D">
        <w:trPr>
          <w:trHeight w:val="577"/>
        </w:trPr>
        <w:tc>
          <w:tcPr>
            <w:tcW w:w="1143" w:type="dxa"/>
          </w:tcPr>
          <w:p w14:paraId="09D7D03A" w14:textId="77777777" w:rsidR="00FE7023" w:rsidRPr="000A61EE" w:rsidRDefault="00FE7023" w:rsidP="00653552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78" w:type="dxa"/>
          </w:tcPr>
          <w:p w14:paraId="375BFE83" w14:textId="77777777" w:rsidR="00FE7023" w:rsidRPr="000A61EE" w:rsidRDefault="00FE7023" w:rsidP="00653552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5" w:type="dxa"/>
            <w:gridSpan w:val="7"/>
            <w:vAlign w:val="center"/>
          </w:tcPr>
          <w:p w14:paraId="5F3FBF54" w14:textId="77777777" w:rsidR="00FE7023" w:rsidRPr="000A61EE" w:rsidRDefault="00FE7023" w:rsidP="00653552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E30DE7" w:rsidRPr="000A61EE" w14:paraId="761747A9" w14:textId="77777777" w:rsidTr="00FB388D">
        <w:trPr>
          <w:trHeight w:val="20"/>
        </w:trPr>
        <w:tc>
          <w:tcPr>
            <w:tcW w:w="1143" w:type="dxa"/>
            <w:vMerge w:val="restart"/>
          </w:tcPr>
          <w:p w14:paraId="18100D4E" w14:textId="77777777" w:rsidR="00FE7023" w:rsidRPr="000A61EE" w:rsidRDefault="00FE7023" w:rsidP="00653552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8" w:type="dxa"/>
            <w:vMerge w:val="restart"/>
          </w:tcPr>
          <w:p w14:paraId="3ADB2D12" w14:textId="77777777" w:rsidR="00FE7023" w:rsidRPr="000A61EE" w:rsidRDefault="00FE7023" w:rsidP="00653552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055CED2D" w14:textId="77777777" w:rsidR="00FE7023" w:rsidRPr="000A61EE" w:rsidRDefault="00FE7023" w:rsidP="00653552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754" w:type="dxa"/>
            <w:gridSpan w:val="6"/>
          </w:tcPr>
          <w:p w14:paraId="59037E76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E30DE7" w:rsidRPr="000A61EE" w14:paraId="0161E63D" w14:textId="77777777" w:rsidTr="00FB388D">
        <w:trPr>
          <w:trHeight w:val="395"/>
        </w:trPr>
        <w:tc>
          <w:tcPr>
            <w:tcW w:w="1143" w:type="dxa"/>
            <w:vMerge/>
          </w:tcPr>
          <w:p w14:paraId="76251394" w14:textId="77777777" w:rsidR="00FE7023" w:rsidRPr="000A61EE" w:rsidRDefault="00FE7023" w:rsidP="00E660A6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076D1845" w14:textId="77777777" w:rsidR="00FE7023" w:rsidRPr="000A61EE" w:rsidRDefault="00FE7023" w:rsidP="00653552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7F48BA26" w14:textId="77777777" w:rsidR="00FE7023" w:rsidRPr="000A61EE" w:rsidRDefault="00FE7023" w:rsidP="00E660A6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41A2EA8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1" w:type="dxa"/>
            <w:vAlign w:val="center"/>
          </w:tcPr>
          <w:p w14:paraId="1B7C9769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11" w:type="dxa"/>
            <w:vAlign w:val="center"/>
          </w:tcPr>
          <w:p w14:paraId="15C94959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4" w:type="dxa"/>
            <w:vAlign w:val="center"/>
          </w:tcPr>
          <w:p w14:paraId="660FA9A1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29" w:type="dxa"/>
            <w:vAlign w:val="center"/>
          </w:tcPr>
          <w:p w14:paraId="01EB7E94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59" w:type="dxa"/>
            <w:vAlign w:val="center"/>
          </w:tcPr>
          <w:p w14:paraId="42639542" w14:textId="77777777" w:rsidR="00FE7023" w:rsidRPr="000A61EE" w:rsidRDefault="00FE7023" w:rsidP="00E660A6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261E0" w:rsidRPr="000A61EE" w14:paraId="43F1DA2E" w14:textId="77777777" w:rsidTr="00FB388D">
        <w:trPr>
          <w:trHeight w:val="489"/>
        </w:trPr>
        <w:tc>
          <w:tcPr>
            <w:tcW w:w="1143" w:type="dxa"/>
            <w:vMerge/>
          </w:tcPr>
          <w:p w14:paraId="23CA73CD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8C93772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A60E9B1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02F20242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0" w:type="dxa"/>
            <w:vAlign w:val="center"/>
          </w:tcPr>
          <w:p w14:paraId="194D5CC5" w14:textId="66E08A79" w:rsidR="002261E0" w:rsidRPr="000A61EE" w:rsidRDefault="00EA2395" w:rsidP="002261E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2F17F6" w:rsidRPr="000A61EE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226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08480</w:t>
            </w:r>
          </w:p>
        </w:tc>
        <w:tc>
          <w:tcPr>
            <w:tcW w:w="1111" w:type="dxa"/>
            <w:vAlign w:val="center"/>
          </w:tcPr>
          <w:p w14:paraId="47ECAD49" w14:textId="32CE49C0" w:rsidR="002261E0" w:rsidRPr="000A61EE" w:rsidRDefault="002261E0" w:rsidP="00226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1 695 791,81900</w:t>
            </w:r>
          </w:p>
        </w:tc>
        <w:tc>
          <w:tcPr>
            <w:tcW w:w="1111" w:type="dxa"/>
            <w:vAlign w:val="center"/>
          </w:tcPr>
          <w:p w14:paraId="5DC0B172" w14:textId="052EF78A" w:rsidR="002261E0" w:rsidRPr="000A61EE" w:rsidRDefault="00EA2395" w:rsidP="002261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1 647 268,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97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54" w:type="dxa"/>
            <w:vAlign w:val="center"/>
          </w:tcPr>
          <w:p w14:paraId="446439C8" w14:textId="77777777" w:rsidR="002261E0" w:rsidRPr="000A61EE" w:rsidRDefault="002261E0" w:rsidP="002261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1129" w:type="dxa"/>
            <w:vAlign w:val="center"/>
          </w:tcPr>
          <w:p w14:paraId="54097F8D" w14:textId="77777777" w:rsidR="002261E0" w:rsidRPr="000A61EE" w:rsidRDefault="002261E0" w:rsidP="002261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1259" w:type="dxa"/>
            <w:vAlign w:val="center"/>
          </w:tcPr>
          <w:p w14:paraId="0B6F3285" w14:textId="7D097AD7" w:rsidR="002261E0" w:rsidRPr="000A61EE" w:rsidRDefault="00EA2395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8 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549</w:t>
            </w:r>
            <w:r w:rsidRPr="000A61E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404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67905</w:t>
            </w:r>
          </w:p>
        </w:tc>
      </w:tr>
      <w:tr w:rsidR="002261E0" w:rsidRPr="000A61EE" w14:paraId="434C5347" w14:textId="77777777" w:rsidTr="00FB388D">
        <w:trPr>
          <w:trHeight w:val="20"/>
        </w:trPr>
        <w:tc>
          <w:tcPr>
            <w:tcW w:w="1143" w:type="dxa"/>
            <w:vMerge/>
          </w:tcPr>
          <w:p w14:paraId="304BE397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A66D944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1131" w:type="dxa"/>
          </w:tcPr>
          <w:p w14:paraId="06A9F580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vAlign w:val="center"/>
          </w:tcPr>
          <w:p w14:paraId="413BE347" w14:textId="617DC2FD" w:rsidR="002261E0" w:rsidRPr="000A61EE" w:rsidRDefault="00F13936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836 498</w:t>
            </w:r>
            <w:r w:rsidR="00EA2395" w:rsidRPr="000A61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67873</w:t>
            </w:r>
          </w:p>
        </w:tc>
        <w:tc>
          <w:tcPr>
            <w:tcW w:w="1111" w:type="dxa"/>
            <w:vAlign w:val="center"/>
          </w:tcPr>
          <w:p w14:paraId="318AE1FA" w14:textId="7B7EC142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633 435,35100</w:t>
            </w:r>
          </w:p>
        </w:tc>
        <w:tc>
          <w:tcPr>
            <w:tcW w:w="1111" w:type="dxa"/>
            <w:vAlign w:val="center"/>
          </w:tcPr>
          <w:p w14:paraId="380BFCBA" w14:textId="3424441E" w:rsidR="002261E0" w:rsidRPr="000A61EE" w:rsidRDefault="00371FD2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584 911</w:t>
            </w:r>
            <w:r w:rsidR="002261E0" w:rsidRPr="000A61EE">
              <w:rPr>
                <w:rFonts w:ascii="Arial" w:hAnsi="Arial" w:cs="Arial"/>
                <w:sz w:val="24"/>
                <w:szCs w:val="24"/>
              </w:rPr>
              <w:t>,</w:t>
            </w:r>
            <w:r w:rsidRPr="000A61EE">
              <w:rPr>
                <w:rFonts w:ascii="Arial" w:hAnsi="Arial" w:cs="Arial"/>
                <w:sz w:val="24"/>
                <w:szCs w:val="24"/>
              </w:rPr>
              <w:t>92</w:t>
            </w:r>
            <w:r w:rsidR="002261E0" w:rsidRPr="000A61EE">
              <w:rPr>
                <w:rFonts w:ascii="Arial" w:hAnsi="Arial" w:cs="Arial"/>
                <w:sz w:val="24"/>
                <w:szCs w:val="24"/>
              </w:rPr>
              <w:t>9</w:t>
            </w:r>
            <w:r w:rsidR="00EA2395" w:rsidRPr="000A61E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54" w:type="dxa"/>
            <w:vAlign w:val="center"/>
          </w:tcPr>
          <w:p w14:paraId="3EEB3B4B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1129" w:type="dxa"/>
            <w:vAlign w:val="center"/>
          </w:tcPr>
          <w:p w14:paraId="614E904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1259" w:type="dxa"/>
            <w:vAlign w:val="center"/>
          </w:tcPr>
          <w:p w14:paraId="1E01BA14" w14:textId="1EBB253E" w:rsidR="002261E0" w:rsidRPr="000A61EE" w:rsidRDefault="00EA2395" w:rsidP="006C795A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F13936" w:rsidRPr="000A61EE">
              <w:rPr>
                <w:rFonts w:ascii="Arial" w:hAnsi="Arial" w:cs="Arial"/>
                <w:sz w:val="24"/>
                <w:szCs w:val="24"/>
              </w:rPr>
              <w:t>365</w:t>
            </w:r>
            <w:r w:rsidRPr="000A6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936" w:rsidRPr="000A61EE">
              <w:rPr>
                <w:rFonts w:ascii="Arial" w:hAnsi="Arial" w:cs="Arial"/>
                <w:sz w:val="24"/>
                <w:szCs w:val="24"/>
              </w:rPr>
              <w:t>251</w:t>
            </w:r>
            <w:r w:rsidRPr="000A61EE">
              <w:rPr>
                <w:rFonts w:ascii="Arial" w:hAnsi="Arial" w:cs="Arial"/>
                <w:sz w:val="24"/>
                <w:szCs w:val="24"/>
              </w:rPr>
              <w:t>,</w:t>
            </w:r>
            <w:r w:rsidR="00F13936" w:rsidRPr="000A61EE">
              <w:rPr>
                <w:rFonts w:ascii="Arial" w:hAnsi="Arial" w:cs="Arial"/>
                <w:sz w:val="24"/>
                <w:szCs w:val="24"/>
              </w:rPr>
              <w:t>50098</w:t>
            </w:r>
          </w:p>
        </w:tc>
      </w:tr>
      <w:tr w:rsidR="002261E0" w:rsidRPr="000A61EE" w14:paraId="72564677" w14:textId="77777777" w:rsidTr="00FB388D">
        <w:trPr>
          <w:trHeight w:val="20"/>
        </w:trPr>
        <w:tc>
          <w:tcPr>
            <w:tcW w:w="1143" w:type="dxa"/>
            <w:vMerge/>
          </w:tcPr>
          <w:p w14:paraId="6223A59B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C950AD8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1131" w:type="dxa"/>
          </w:tcPr>
          <w:p w14:paraId="4CCDCAA6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vAlign w:val="center"/>
          </w:tcPr>
          <w:p w14:paraId="0DE41567" w14:textId="0A60C88F" w:rsidR="002261E0" w:rsidRPr="000A61EE" w:rsidRDefault="002261E0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13936" w:rsidRPr="000A61EE">
              <w:rPr>
                <w:rFonts w:ascii="Arial" w:hAnsi="Arial" w:cs="Arial"/>
                <w:bCs/>
                <w:sz w:val="24"/>
                <w:szCs w:val="24"/>
              </w:rPr>
              <w:t>426</w:t>
            </w:r>
            <w:r w:rsidRPr="000A61EE">
              <w:rPr>
                <w:rFonts w:ascii="Arial" w:hAnsi="Arial" w:cs="Arial"/>
                <w:bCs/>
                <w:sz w:val="24"/>
                <w:szCs w:val="24"/>
              </w:rPr>
              <w:t>,90300</w:t>
            </w:r>
          </w:p>
        </w:tc>
        <w:tc>
          <w:tcPr>
            <w:tcW w:w="1111" w:type="dxa"/>
            <w:vAlign w:val="center"/>
          </w:tcPr>
          <w:p w14:paraId="0215D4C2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1111" w:type="dxa"/>
            <w:vAlign w:val="center"/>
          </w:tcPr>
          <w:p w14:paraId="1A8FBCC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1154" w:type="dxa"/>
            <w:vAlign w:val="center"/>
          </w:tcPr>
          <w:p w14:paraId="17497E1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1129" w:type="dxa"/>
            <w:vAlign w:val="center"/>
          </w:tcPr>
          <w:p w14:paraId="79768BB2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1259" w:type="dxa"/>
            <w:vAlign w:val="center"/>
          </w:tcPr>
          <w:p w14:paraId="53DA21FA" w14:textId="6870405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1 6</w:t>
            </w:r>
            <w:r w:rsidR="00F13936" w:rsidRPr="000A61EE">
              <w:rPr>
                <w:rFonts w:ascii="Arial" w:hAnsi="Arial" w:cs="Arial"/>
                <w:sz w:val="24"/>
                <w:szCs w:val="24"/>
              </w:rPr>
              <w:t>47</w:t>
            </w:r>
            <w:r w:rsidRPr="000A6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936" w:rsidRPr="000A61EE">
              <w:rPr>
                <w:rFonts w:ascii="Arial" w:hAnsi="Arial" w:cs="Arial"/>
                <w:sz w:val="24"/>
                <w:szCs w:val="24"/>
              </w:rPr>
              <w:t>640</w:t>
            </w:r>
            <w:r w:rsidRPr="000A61EE">
              <w:rPr>
                <w:rFonts w:ascii="Arial" w:hAnsi="Arial" w:cs="Arial"/>
                <w:sz w:val="24"/>
                <w:szCs w:val="24"/>
              </w:rPr>
              <w:t>,83500</w:t>
            </w:r>
          </w:p>
        </w:tc>
      </w:tr>
      <w:tr w:rsidR="002261E0" w:rsidRPr="000A61EE" w14:paraId="68417F73" w14:textId="77777777" w:rsidTr="00FB388D">
        <w:trPr>
          <w:trHeight w:val="20"/>
        </w:trPr>
        <w:tc>
          <w:tcPr>
            <w:tcW w:w="1143" w:type="dxa"/>
            <w:vMerge/>
          </w:tcPr>
          <w:p w14:paraId="72DA2A7B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9C9636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131" w:type="dxa"/>
          </w:tcPr>
          <w:p w14:paraId="303B7441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vAlign w:val="center"/>
          </w:tcPr>
          <w:p w14:paraId="73E7A4E5" w14:textId="4DB44E2F" w:rsidR="002261E0" w:rsidRPr="000A61EE" w:rsidRDefault="00D92783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98 464,71523</w:t>
            </w:r>
          </w:p>
        </w:tc>
        <w:tc>
          <w:tcPr>
            <w:tcW w:w="1111" w:type="dxa"/>
            <w:vAlign w:val="center"/>
          </w:tcPr>
          <w:p w14:paraId="18ADE9BE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1111" w:type="dxa"/>
            <w:vAlign w:val="center"/>
          </w:tcPr>
          <w:p w14:paraId="62ECDDEF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1154" w:type="dxa"/>
            <w:vAlign w:val="center"/>
          </w:tcPr>
          <w:p w14:paraId="340B17B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1129" w:type="dxa"/>
            <w:vAlign w:val="center"/>
          </w:tcPr>
          <w:p w14:paraId="2899343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1259" w:type="dxa"/>
            <w:vAlign w:val="center"/>
          </w:tcPr>
          <w:p w14:paraId="187554C3" w14:textId="1E3DE2EA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591 467,63523</w:t>
            </w:r>
          </w:p>
        </w:tc>
      </w:tr>
      <w:tr w:rsidR="002261E0" w:rsidRPr="000A61EE" w14:paraId="0B19BD36" w14:textId="77777777" w:rsidTr="00FB388D">
        <w:trPr>
          <w:trHeight w:val="20"/>
        </w:trPr>
        <w:tc>
          <w:tcPr>
            <w:tcW w:w="1143" w:type="dxa"/>
            <w:vMerge/>
          </w:tcPr>
          <w:p w14:paraId="33C34AFA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6201762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131" w:type="dxa"/>
          </w:tcPr>
          <w:p w14:paraId="782DFE23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vAlign w:val="center"/>
          </w:tcPr>
          <w:p w14:paraId="177B885E" w14:textId="236B0810" w:rsidR="002261E0" w:rsidRPr="000A61EE" w:rsidRDefault="00D92783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78 474,36436</w:t>
            </w:r>
          </w:p>
        </w:tc>
        <w:tc>
          <w:tcPr>
            <w:tcW w:w="1111" w:type="dxa"/>
            <w:vAlign w:val="center"/>
          </w:tcPr>
          <w:p w14:paraId="792B372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1111" w:type="dxa"/>
            <w:vAlign w:val="center"/>
          </w:tcPr>
          <w:p w14:paraId="09F04F3B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1154" w:type="dxa"/>
            <w:vAlign w:val="center"/>
          </w:tcPr>
          <w:p w14:paraId="631C3F68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1129" w:type="dxa"/>
            <w:vAlign w:val="center"/>
          </w:tcPr>
          <w:p w14:paraId="4DB962BB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1259" w:type="dxa"/>
            <w:vAlign w:val="center"/>
          </w:tcPr>
          <w:p w14:paraId="5C0D73A1" w14:textId="33AF2495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538 978,36436</w:t>
            </w:r>
          </w:p>
        </w:tc>
      </w:tr>
      <w:tr w:rsidR="002261E0" w:rsidRPr="000A61EE" w14:paraId="5CAD8CCC" w14:textId="77777777" w:rsidTr="00FB388D">
        <w:trPr>
          <w:trHeight w:val="20"/>
        </w:trPr>
        <w:tc>
          <w:tcPr>
            <w:tcW w:w="1143" w:type="dxa"/>
            <w:vMerge/>
          </w:tcPr>
          <w:p w14:paraId="757C6C4C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BD7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73D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6AB9" w14:textId="469AE392" w:rsidR="002261E0" w:rsidRPr="000A61EE" w:rsidRDefault="00D92783" w:rsidP="002261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37 886,8484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13B3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 xml:space="preserve"> 37 572,82000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15C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D4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12F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2CDB" w14:textId="04BC331F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188 178,12840</w:t>
            </w:r>
          </w:p>
        </w:tc>
      </w:tr>
      <w:tr w:rsidR="002261E0" w:rsidRPr="000A61EE" w14:paraId="2EBCB8A4" w14:textId="77777777" w:rsidTr="00FB388D">
        <w:trPr>
          <w:trHeight w:val="20"/>
        </w:trPr>
        <w:tc>
          <w:tcPr>
            <w:tcW w:w="1143" w:type="dxa"/>
            <w:vMerge/>
          </w:tcPr>
          <w:p w14:paraId="08FF53A4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2C6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89B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AFB" w14:textId="30FA647C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29 919,31000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EA5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A5F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738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117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E8A5" w14:textId="6EC3113E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207 356,55000</w:t>
            </w:r>
          </w:p>
        </w:tc>
      </w:tr>
      <w:tr w:rsidR="002261E0" w:rsidRPr="000A61EE" w14:paraId="680C1927" w14:textId="77777777" w:rsidTr="00FB388D">
        <w:trPr>
          <w:trHeight w:val="20"/>
        </w:trPr>
        <w:tc>
          <w:tcPr>
            <w:tcW w:w="1143" w:type="dxa"/>
            <w:vMerge/>
          </w:tcPr>
          <w:p w14:paraId="1904445F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D5A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26A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BDA" w14:textId="17F6D5CB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28 629,80000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109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E41E" w14:textId="09435B05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</w:t>
            </w:r>
            <w:r w:rsidR="00EA2395" w:rsidRPr="000A61EE">
              <w:rPr>
                <w:rFonts w:ascii="Arial" w:hAnsi="Arial" w:cs="Arial"/>
                <w:sz w:val="24"/>
                <w:szCs w:val="24"/>
              </w:rPr>
              <w:t>7</w:t>
            </w:r>
            <w:r w:rsidRPr="000A61E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151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FA9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24A" w14:textId="5CA355D0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172 952,</w:t>
            </w:r>
            <w:r w:rsidRPr="000A61E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61E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2261E0" w:rsidRPr="000A61EE" w14:paraId="74200D04" w14:textId="77777777" w:rsidTr="00FB388D">
        <w:trPr>
          <w:trHeight w:val="20"/>
        </w:trPr>
        <w:tc>
          <w:tcPr>
            <w:tcW w:w="1143" w:type="dxa"/>
            <w:vMerge/>
          </w:tcPr>
          <w:p w14:paraId="332DD6D1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E1D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E60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C96C" w14:textId="2A7C583E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25 858,00000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3A7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9B67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12D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E42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BAF" w14:textId="4C05E974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154 166,00000</w:t>
            </w:r>
          </w:p>
        </w:tc>
      </w:tr>
      <w:tr w:rsidR="002261E0" w:rsidRPr="000A61EE" w14:paraId="44AA99B9" w14:textId="77777777" w:rsidTr="00FB388D">
        <w:trPr>
          <w:trHeight w:val="20"/>
        </w:trPr>
        <w:tc>
          <w:tcPr>
            <w:tcW w:w="1143" w:type="dxa"/>
            <w:vMerge/>
          </w:tcPr>
          <w:p w14:paraId="0CA0477F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C1F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8D0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E9A" w14:textId="24D7E26D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25 878,06923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80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6BFE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E9D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6B0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FF0" w14:textId="1C118FF1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183 516,46923</w:t>
            </w:r>
          </w:p>
        </w:tc>
      </w:tr>
      <w:tr w:rsidR="002261E0" w:rsidRPr="000A61EE" w14:paraId="552EBC3C" w14:textId="77777777" w:rsidTr="00FB388D">
        <w:trPr>
          <w:trHeight w:val="20"/>
        </w:trPr>
        <w:tc>
          <w:tcPr>
            <w:tcW w:w="1143" w:type="dxa"/>
            <w:vMerge/>
          </w:tcPr>
          <w:p w14:paraId="5FD81862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111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726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974" w14:textId="77901861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38 824,45365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EC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1FFE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BE3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82C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AF2" w14:textId="3C64E73F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238 652,05365</w:t>
            </w:r>
          </w:p>
        </w:tc>
      </w:tr>
      <w:tr w:rsidR="002261E0" w:rsidRPr="000A61EE" w14:paraId="63A2A9D2" w14:textId="77777777" w:rsidTr="00FB388D">
        <w:trPr>
          <w:trHeight w:val="20"/>
        </w:trPr>
        <w:tc>
          <w:tcPr>
            <w:tcW w:w="1143" w:type="dxa"/>
            <w:vMerge/>
          </w:tcPr>
          <w:p w14:paraId="7CF83E15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83C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254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D3B" w14:textId="7385F42D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22 926,32200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F12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F8D3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4D5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BF1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0377" w14:textId="18BE60A6" w:rsidR="002261E0" w:rsidRPr="000A61EE" w:rsidRDefault="00D92783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144 711,61000</w:t>
            </w:r>
          </w:p>
        </w:tc>
      </w:tr>
      <w:tr w:rsidR="002261E0" w:rsidRPr="000A61EE" w14:paraId="75904B0E" w14:textId="77777777" w:rsidTr="00FB388D">
        <w:trPr>
          <w:trHeight w:val="20"/>
        </w:trPr>
        <w:tc>
          <w:tcPr>
            <w:tcW w:w="1143" w:type="dxa"/>
            <w:vMerge/>
          </w:tcPr>
          <w:p w14:paraId="7259C2F7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A39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D83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75C" w14:textId="35D776CE" w:rsidR="002261E0" w:rsidRPr="000A61EE" w:rsidRDefault="00D92783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20 483,61356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3D0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FAB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314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35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DF25" w14:textId="798A4EA9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100 555,61356</w:t>
            </w:r>
          </w:p>
        </w:tc>
      </w:tr>
      <w:tr w:rsidR="002261E0" w:rsidRPr="000A61EE" w14:paraId="488A5048" w14:textId="77777777" w:rsidTr="00FB388D">
        <w:trPr>
          <w:trHeight w:val="20"/>
        </w:trPr>
        <w:tc>
          <w:tcPr>
            <w:tcW w:w="1143" w:type="dxa"/>
            <w:vMerge/>
          </w:tcPr>
          <w:p w14:paraId="3B9C5644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40B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5EE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FB9" w14:textId="1F711CF5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29 736,00000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31E5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ED1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3B5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34B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43B" w14:textId="31B18479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152 676,00000</w:t>
            </w:r>
          </w:p>
        </w:tc>
      </w:tr>
      <w:tr w:rsidR="002261E0" w:rsidRPr="000A61EE" w14:paraId="6969FB08" w14:textId="77777777" w:rsidTr="00FB388D">
        <w:trPr>
          <w:trHeight w:val="20"/>
        </w:trPr>
        <w:tc>
          <w:tcPr>
            <w:tcW w:w="1143" w:type="dxa"/>
            <w:vMerge/>
          </w:tcPr>
          <w:p w14:paraId="7D36B5F1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BF2" w14:textId="77777777" w:rsidR="002261E0" w:rsidRPr="000A61EE" w:rsidRDefault="002261E0" w:rsidP="002261E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Жаворонковское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440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1CDB" w14:textId="4D47E76E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25 752,75124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A7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EA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88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EA1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0EAE" w14:textId="69768452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134 202,88324</w:t>
            </w:r>
          </w:p>
        </w:tc>
      </w:tr>
      <w:tr w:rsidR="002261E0" w:rsidRPr="000A61EE" w14:paraId="78E40EA8" w14:textId="77777777" w:rsidTr="00FB388D">
        <w:trPr>
          <w:trHeight w:val="20"/>
        </w:trPr>
        <w:tc>
          <w:tcPr>
            <w:tcW w:w="1143" w:type="dxa"/>
            <w:vMerge/>
          </w:tcPr>
          <w:p w14:paraId="21D0493C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8C8" w14:textId="77777777" w:rsidR="002261E0" w:rsidRPr="000A61EE" w:rsidRDefault="002261E0" w:rsidP="002261E0">
            <w:pPr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D28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2D4" w14:textId="636C8290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25 471,78000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D0C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3FE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9D9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5AFA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716" w14:textId="7EFF7F01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94 009,30000</w:t>
            </w:r>
          </w:p>
        </w:tc>
      </w:tr>
      <w:tr w:rsidR="002261E0" w:rsidRPr="000A61EE" w14:paraId="572F11B0" w14:textId="77777777" w:rsidTr="00FB388D">
        <w:trPr>
          <w:trHeight w:val="20"/>
        </w:trPr>
        <w:tc>
          <w:tcPr>
            <w:tcW w:w="1143" w:type="dxa"/>
            <w:vMerge/>
          </w:tcPr>
          <w:p w14:paraId="601330CD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65B" w14:textId="77777777" w:rsidR="002261E0" w:rsidRPr="000A61EE" w:rsidRDefault="002261E0" w:rsidP="002261E0">
            <w:pPr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1C0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3C8" w14:textId="7920BBC5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24 075,00000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21D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CFEF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603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A6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7E5" w14:textId="171B325E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127 815,00000</w:t>
            </w:r>
          </w:p>
        </w:tc>
      </w:tr>
      <w:tr w:rsidR="002261E0" w:rsidRPr="000A61EE" w14:paraId="77C26C23" w14:textId="77777777" w:rsidTr="00FB388D">
        <w:trPr>
          <w:trHeight w:val="20"/>
        </w:trPr>
        <w:tc>
          <w:tcPr>
            <w:tcW w:w="1143" w:type="dxa"/>
            <w:vMerge/>
          </w:tcPr>
          <w:p w14:paraId="43C6814D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42F" w14:textId="77777777" w:rsidR="002261E0" w:rsidRPr="000A61EE" w:rsidRDefault="002261E0" w:rsidP="002261E0">
            <w:pPr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76B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D44" w14:textId="7B5BDE82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28 004,47540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8C9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41D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785C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383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401" w14:textId="74AF3EC8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159 306,83540</w:t>
            </w:r>
          </w:p>
        </w:tc>
      </w:tr>
      <w:tr w:rsidR="002261E0" w:rsidRPr="000A61EE" w14:paraId="1F10147A" w14:textId="77777777" w:rsidTr="00FB388D">
        <w:trPr>
          <w:trHeight w:val="20"/>
        </w:trPr>
        <w:tc>
          <w:tcPr>
            <w:tcW w:w="1143" w:type="dxa"/>
            <w:vMerge/>
          </w:tcPr>
          <w:p w14:paraId="78BB6BA1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580" w14:textId="77777777" w:rsidR="002261E0" w:rsidRPr="000A61EE" w:rsidRDefault="002261E0" w:rsidP="002261E0">
            <w:pPr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CA2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A96" w14:textId="794934F7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37 322,00000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508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AF6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7BF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9ED7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747" w14:textId="30989A14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228 158,00000</w:t>
            </w:r>
          </w:p>
        </w:tc>
      </w:tr>
      <w:tr w:rsidR="002261E0" w:rsidRPr="000A61EE" w14:paraId="330BCBE3" w14:textId="77777777" w:rsidTr="00FB388D">
        <w:trPr>
          <w:trHeight w:val="20"/>
        </w:trPr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46EE47B3" w14:textId="77777777" w:rsidR="002261E0" w:rsidRPr="000A61EE" w:rsidRDefault="002261E0" w:rsidP="002261E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923" w14:textId="77777777" w:rsidR="002261E0" w:rsidRPr="000A61EE" w:rsidRDefault="002261E0" w:rsidP="002261E0">
            <w:pPr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378" w14:textId="77777777" w:rsidR="002261E0" w:rsidRPr="000A61EE" w:rsidRDefault="002261E0" w:rsidP="002261E0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780B" w14:textId="06CA3CD7" w:rsidR="002261E0" w:rsidRPr="000A61EE" w:rsidRDefault="002F17F6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23 593,00000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4CD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1F43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31AC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F47" w14:textId="77777777" w:rsidR="002261E0" w:rsidRPr="000A61EE" w:rsidRDefault="002261E0" w:rsidP="00226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2EAF" w14:textId="6303B092" w:rsidR="002261E0" w:rsidRPr="000A61EE" w:rsidRDefault="002F17F6" w:rsidP="002261E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119 809,00000</w:t>
            </w:r>
          </w:p>
        </w:tc>
      </w:tr>
    </w:tbl>
    <w:p w14:paraId="669994E9" w14:textId="654BA03B" w:rsidR="00027BC1" w:rsidRPr="000A61EE" w:rsidRDefault="00AF23D4" w:rsidP="00027BC1">
      <w:pPr>
        <w:ind w:left="7929" w:firstLine="1275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 </w:t>
      </w:r>
      <w:r w:rsidR="00027BC1" w:rsidRPr="000A61EE">
        <w:rPr>
          <w:rFonts w:ascii="Arial" w:hAnsi="Arial" w:cs="Arial"/>
          <w:sz w:val="24"/>
          <w:szCs w:val="24"/>
        </w:rPr>
        <w:t>»</w:t>
      </w:r>
      <w:r w:rsidRPr="000A61EE">
        <w:rPr>
          <w:rFonts w:ascii="Arial" w:hAnsi="Arial" w:cs="Arial"/>
          <w:sz w:val="24"/>
          <w:szCs w:val="24"/>
        </w:rPr>
        <w:t>.</w:t>
      </w:r>
    </w:p>
    <w:p w14:paraId="71F7515C" w14:textId="5AFACA9B" w:rsidR="00D53821" w:rsidRPr="000A61EE" w:rsidRDefault="00D53821" w:rsidP="00FB388D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ab/>
      </w:r>
      <w:r w:rsidR="00F91B66" w:rsidRPr="000A61EE">
        <w:rPr>
          <w:rFonts w:ascii="Arial" w:hAnsi="Arial" w:cs="Arial"/>
          <w:sz w:val="24"/>
          <w:szCs w:val="24"/>
        </w:rPr>
        <w:t>1.</w:t>
      </w:r>
      <w:r w:rsidR="00B7147B" w:rsidRPr="000A61EE">
        <w:rPr>
          <w:rFonts w:ascii="Arial" w:hAnsi="Arial" w:cs="Arial"/>
          <w:sz w:val="24"/>
          <w:szCs w:val="24"/>
        </w:rPr>
        <w:t>4</w:t>
      </w:r>
      <w:r w:rsidR="00D77473" w:rsidRPr="000A61EE">
        <w:rPr>
          <w:rFonts w:ascii="Arial" w:hAnsi="Arial" w:cs="Arial"/>
          <w:sz w:val="24"/>
          <w:szCs w:val="24"/>
        </w:rPr>
        <w:t xml:space="preserve">. </w:t>
      </w:r>
      <w:r w:rsidR="00893F28" w:rsidRPr="000A61EE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постановлению.</w:t>
      </w:r>
    </w:p>
    <w:p w14:paraId="37F9276A" w14:textId="77777777" w:rsidR="00BC11EF" w:rsidRPr="000A61EE" w:rsidRDefault="004036AD" w:rsidP="00FB388D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2</w:t>
      </w:r>
      <w:r w:rsidR="00BC11EF" w:rsidRPr="000A61EE">
        <w:rPr>
          <w:rFonts w:ascii="Arial" w:hAnsi="Arial" w:cs="Arial"/>
          <w:sz w:val="24"/>
          <w:szCs w:val="24"/>
        </w:rPr>
        <w:t>.</w:t>
      </w:r>
      <w:r w:rsidR="00EE6624" w:rsidRPr="000A61EE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0A61EE">
        <w:rPr>
          <w:rFonts w:ascii="Arial" w:hAnsi="Arial" w:cs="Arial"/>
          <w:sz w:val="24"/>
          <w:szCs w:val="24"/>
        </w:rPr>
        <w:t>городского округа</w:t>
      </w:r>
      <w:r w:rsidR="00DC2A46" w:rsidRPr="000A61EE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0A61EE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0A61EE" w:rsidRDefault="00961C3F" w:rsidP="00FB388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3. </w:t>
      </w:r>
      <w:r w:rsidR="00554104" w:rsidRPr="000A61EE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77777777" w:rsidR="00BC11EF" w:rsidRPr="000A61EE" w:rsidRDefault="00BC11EF" w:rsidP="00FB388D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0914B3B8" w14:textId="77777777" w:rsidR="00554104" w:rsidRPr="000A61EE" w:rsidRDefault="00554104" w:rsidP="00FB388D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7A3F3F28" w14:textId="77777777" w:rsidR="00D954A9" w:rsidRPr="000A61EE" w:rsidRDefault="00D954A9" w:rsidP="00FB388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>Глава Одинцовского</w:t>
      </w:r>
    </w:p>
    <w:p w14:paraId="6766CCE7" w14:textId="1E1D6779" w:rsidR="00D954A9" w:rsidRPr="000A61EE" w:rsidRDefault="00D954A9" w:rsidP="00FB388D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A61EE">
        <w:rPr>
          <w:rFonts w:ascii="Arial" w:hAnsi="Arial" w:cs="Arial"/>
          <w:sz w:val="24"/>
          <w:szCs w:val="24"/>
        </w:rPr>
        <w:t xml:space="preserve">городского округа     </w:t>
      </w:r>
      <w:r w:rsidRPr="000A61EE">
        <w:rPr>
          <w:rFonts w:ascii="Arial" w:hAnsi="Arial" w:cs="Arial"/>
          <w:sz w:val="24"/>
          <w:szCs w:val="24"/>
        </w:rPr>
        <w:tab/>
        <w:t xml:space="preserve">                 </w:t>
      </w:r>
      <w:r w:rsidRPr="000A61EE">
        <w:rPr>
          <w:rFonts w:ascii="Arial" w:hAnsi="Arial" w:cs="Arial"/>
          <w:sz w:val="24"/>
          <w:szCs w:val="24"/>
        </w:rPr>
        <w:tab/>
      </w:r>
      <w:r w:rsidRPr="000A61EE">
        <w:rPr>
          <w:rFonts w:ascii="Arial" w:hAnsi="Arial" w:cs="Arial"/>
          <w:sz w:val="24"/>
          <w:szCs w:val="24"/>
        </w:rPr>
        <w:tab/>
      </w:r>
      <w:r w:rsidRPr="000A61EE">
        <w:rPr>
          <w:rFonts w:ascii="Arial" w:hAnsi="Arial" w:cs="Arial"/>
          <w:sz w:val="24"/>
          <w:szCs w:val="24"/>
        </w:rPr>
        <w:tab/>
      </w:r>
      <w:r w:rsidRPr="000A61EE">
        <w:rPr>
          <w:rFonts w:ascii="Arial" w:hAnsi="Arial" w:cs="Arial"/>
          <w:sz w:val="24"/>
          <w:szCs w:val="24"/>
        </w:rPr>
        <w:tab/>
      </w:r>
      <w:r w:rsidRPr="000A61EE">
        <w:rPr>
          <w:rFonts w:ascii="Arial" w:hAnsi="Arial" w:cs="Arial"/>
          <w:sz w:val="24"/>
          <w:szCs w:val="24"/>
        </w:rPr>
        <w:tab/>
      </w:r>
      <w:r w:rsidRPr="000A61EE">
        <w:rPr>
          <w:rFonts w:ascii="Arial" w:hAnsi="Arial" w:cs="Arial"/>
          <w:sz w:val="24"/>
          <w:szCs w:val="24"/>
        </w:rPr>
        <w:tab/>
        <w:t>А.Р. Иванов</w:t>
      </w:r>
    </w:p>
    <w:p w14:paraId="096A7F8F" w14:textId="77777777" w:rsidR="00FB388D" w:rsidRPr="000A61EE" w:rsidRDefault="00FB388D" w:rsidP="00FB388D">
      <w:pPr>
        <w:tabs>
          <w:tab w:val="left" w:pos="0"/>
          <w:tab w:val="left" w:pos="2100"/>
        </w:tabs>
        <w:ind w:firstLine="567"/>
        <w:rPr>
          <w:rFonts w:ascii="Arial" w:hAnsi="Arial" w:cs="Arial"/>
          <w:sz w:val="24"/>
          <w:szCs w:val="24"/>
        </w:rPr>
        <w:sectPr w:rsidR="00FB388D" w:rsidRPr="000A61EE" w:rsidSect="00FB388D">
          <w:footerReference w:type="even" r:id="rId9"/>
          <w:footerReference w:type="default" r:id="rId10"/>
          <w:pgSz w:w="11906" w:h="16838" w:code="9"/>
          <w:pgMar w:top="1134" w:right="567" w:bottom="1134" w:left="1134" w:header="709" w:footer="227" w:gutter="0"/>
          <w:cols w:space="708"/>
          <w:docGrid w:linePitch="360"/>
        </w:sect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90"/>
        <w:gridCol w:w="1652"/>
        <w:gridCol w:w="816"/>
        <w:gridCol w:w="995"/>
        <w:gridCol w:w="1122"/>
        <w:gridCol w:w="1220"/>
        <w:gridCol w:w="1252"/>
        <w:gridCol w:w="641"/>
        <w:gridCol w:w="1700"/>
        <w:gridCol w:w="4898"/>
      </w:tblGrid>
      <w:tr w:rsidR="00FB388D" w:rsidRPr="000A61EE" w14:paraId="0D84B653" w14:textId="77777777" w:rsidTr="00975BE4">
        <w:trPr>
          <w:trHeight w:val="103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FAC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M99"/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DA64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6AB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764F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2EF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E43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C85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C4C5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A12F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8E2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4163E14" w14:textId="14587C41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B3D4CD5" w14:textId="401D7F61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  Одинцовского городского округа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>от «21» 09.2020   №   2395</w:t>
            </w:r>
            <w:r w:rsidRPr="000A61E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</w:t>
            </w:r>
          </w:p>
          <w:p w14:paraId="1A920F8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06B0E0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9E8A814" w14:textId="5605134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Приложение 1 к Муниципальной программе</w:t>
            </w:r>
          </w:p>
        </w:tc>
      </w:tr>
      <w:tr w:rsidR="00FB388D" w:rsidRPr="000A61EE" w14:paraId="15EF4F0C" w14:textId="77777777" w:rsidTr="00975BE4">
        <w:trPr>
          <w:trHeight w:val="5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445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10A8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D55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1930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2F36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5BA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468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98FD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336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A20B" w14:textId="282E81FB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434E9" w14:textId="77777777" w:rsidR="00FB388D" w:rsidRPr="000A61EE" w:rsidRDefault="00FB388D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90"/>
        <w:gridCol w:w="1652"/>
        <w:gridCol w:w="816"/>
        <w:gridCol w:w="995"/>
        <w:gridCol w:w="1122"/>
        <w:gridCol w:w="1220"/>
        <w:gridCol w:w="1252"/>
        <w:gridCol w:w="641"/>
        <w:gridCol w:w="1700"/>
        <w:gridCol w:w="1032"/>
        <w:gridCol w:w="1130"/>
        <w:gridCol w:w="1129"/>
        <w:gridCol w:w="1607"/>
      </w:tblGrid>
      <w:tr w:rsidR="00FB388D" w:rsidRPr="000A61EE" w14:paraId="7A7E0F94" w14:textId="77777777" w:rsidTr="00FB388D">
        <w:trPr>
          <w:trHeight w:val="7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84B0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9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9493DF7" w14:textId="77777777" w:rsidR="00FB388D" w:rsidRPr="000A61EE" w:rsidRDefault="00FB388D" w:rsidP="00FB388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323691" w14:textId="77777777" w:rsidR="00FB388D" w:rsidRPr="000A61EE" w:rsidRDefault="00FB388D" w:rsidP="00FB388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712383A4" w14:textId="46AC8EFE" w:rsidR="00FB388D" w:rsidRPr="000A61EE" w:rsidRDefault="00FB388D" w:rsidP="00FB388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3E4C5F70" w14:textId="77777777" w:rsidTr="00FB388D">
        <w:trPr>
          <w:trHeight w:val="600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9B4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A5A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77C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BAE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E15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Объем финансирования мероприятия в 2019 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151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75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77A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53B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 подпрограммы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CB4A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FB388D" w:rsidRPr="000A61EE" w14:paraId="1E47604D" w14:textId="77777777" w:rsidTr="00FB388D">
        <w:trPr>
          <w:trHeight w:val="360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6189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9341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01FC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03C2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0B81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2A02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7B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0EC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FB4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A15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AE3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480D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FCAE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7606D667" w14:textId="77777777" w:rsidTr="00FB388D">
        <w:trPr>
          <w:trHeight w:val="36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2AC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3F6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33B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6AF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215E4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2A31D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F3F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512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19C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2A7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6B1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787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B898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B388D" w:rsidRPr="000A61EE" w14:paraId="0CF60E08" w14:textId="77777777" w:rsidTr="00FB388D">
        <w:trPr>
          <w:trHeight w:val="465"/>
        </w:trPr>
        <w:tc>
          <w:tcPr>
            <w:tcW w:w="1478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C24A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FB388D" w:rsidRPr="000A61EE" w14:paraId="50DF59B3" w14:textId="77777777" w:rsidTr="00FB388D">
        <w:trPr>
          <w:trHeight w:val="328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84FEC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2F092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7E4C5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42C00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B48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F0D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381 335,03500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32A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62 484,20700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26E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37C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271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382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935DD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83299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58DF79F9" w14:textId="77777777" w:rsidTr="00FB388D">
        <w:trPr>
          <w:trHeight w:val="3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0BA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A026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 и распоряжением имуществом, находящимся в муниципальной собственнос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ти городского округа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19D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BF7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5C4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5 822,52700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F46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41 966,30500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AAE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10 713,26100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275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78F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5F1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DA8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C8F7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5A5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постановка их на государственный ка-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r w:rsidRPr="000A61EE">
              <w:rPr>
                <w:rFonts w:ascii="Arial" w:hAnsi="Arial" w:cs="Arial"/>
                <w:sz w:val="24"/>
                <w:szCs w:val="24"/>
              </w:rPr>
              <w:t xml:space="preserve">  учет. Снижение задолженности, увеличение доходной части бюджета Одинцовского городского округа.  </w:t>
            </w:r>
          </w:p>
        </w:tc>
      </w:tr>
      <w:tr w:rsidR="00FB388D" w:rsidRPr="000A61EE" w14:paraId="5BE242C4" w14:textId="77777777" w:rsidTr="00FB388D">
        <w:trPr>
          <w:trHeight w:val="27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3DA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A3E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0C14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31A5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E7E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8 035,59600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6B4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295 281,83000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75A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50 771,16600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733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A52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B9A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6E5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EE6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97E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капитального ремонта общего имущества многоквартирных домов) </w:t>
            </w:r>
          </w:p>
        </w:tc>
      </w:tr>
      <w:tr w:rsidR="00FB388D" w:rsidRPr="000A61EE" w14:paraId="1E80E34D" w14:textId="77777777" w:rsidTr="00FB388D">
        <w:trPr>
          <w:trHeight w:val="357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28439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B6421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12295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C90FA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543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200,10000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0C8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44 086,90000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D67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0A5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87A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E1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81B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CFC80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3AB00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е земельного налога, увеличение доходной части бюджета</w:t>
            </w:r>
          </w:p>
        </w:tc>
      </w:tr>
      <w:tr w:rsidR="00FB388D" w:rsidRPr="000A61EE" w14:paraId="621473D7" w14:textId="77777777" w:rsidTr="00FB388D">
        <w:trPr>
          <w:trHeight w:val="765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19CCF1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7C2C36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5CF633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220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64F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822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30 302,00000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4E7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30 302,00000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F07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D8C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122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1D0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BFC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034FA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0EE4BDD0" w14:textId="77777777" w:rsidTr="00FB388D">
        <w:trPr>
          <w:trHeight w:val="1710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CF0B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AC49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4AC3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FD89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7A3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5E6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C8D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C7E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F28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258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331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D5C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0A9D88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5D3EF999" w14:textId="77777777" w:rsidTr="00FB388D">
        <w:trPr>
          <w:trHeight w:val="103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2975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42A6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C5C9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598B5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Средства бюджета ОГО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503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DA6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318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0A0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6DA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713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565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5E687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AE99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73CA78A1" w14:textId="77777777" w:rsidTr="00FB388D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FA5CF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CC54C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DD3E3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A8C1B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350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A27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51C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E8A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32B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C35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961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8E31B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16190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FB388D" w:rsidRPr="000A61EE" w14:paraId="05A47C42" w14:textId="77777777" w:rsidTr="00FB388D">
        <w:trPr>
          <w:trHeight w:val="11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B1F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7BA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E28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56B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E74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1E8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006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383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FE3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E10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508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875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B3B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0E0254D3" w14:textId="77777777" w:rsidTr="00FB388D">
        <w:trPr>
          <w:trHeight w:val="181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3FA99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5A203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9271F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2BBD7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68A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E5B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15 222,04717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CB3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22,04717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C59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0BF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430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C7B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D0FB8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4EAAF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79061F3" w14:textId="77777777" w:rsidTr="00FB388D">
        <w:trPr>
          <w:trHeight w:val="358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7CDCE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32360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4F43F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EE649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FDB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5D0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15 222,04717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9F9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22,04717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8F8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53F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FDA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B29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DF9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8FC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r w:rsidRPr="000A61EE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постановка объектов недвижимого имущества на кадастровый учет.</w:t>
            </w:r>
          </w:p>
        </w:tc>
      </w:tr>
      <w:tr w:rsidR="00FB388D" w:rsidRPr="000A61EE" w14:paraId="6050840D" w14:textId="77777777" w:rsidTr="00FB388D">
        <w:trPr>
          <w:trHeight w:val="480"/>
        </w:trPr>
        <w:tc>
          <w:tcPr>
            <w:tcW w:w="3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5CC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0C4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37 308,22300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67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426 859,08217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3ED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92 808,25417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C43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C42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F94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26B2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EC6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BAD9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7A58C8D1" w14:textId="77777777" w:rsidTr="00FB388D">
        <w:trPr>
          <w:trHeight w:val="435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D80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9DD8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85B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D8DE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8C6C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DC80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C6A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D62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55B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DBC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7D1ABC82" w14:textId="77777777" w:rsidTr="00FB388D">
        <w:trPr>
          <w:trHeight w:val="420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047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143E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429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400 357,08217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8C1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66 306,25417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033C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EAA0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D1DB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8D8A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783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2E5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01C7C65E" w14:textId="77777777" w:rsidTr="00FB388D">
        <w:trPr>
          <w:trHeight w:val="70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BF9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службы» </w:t>
            </w:r>
          </w:p>
        </w:tc>
      </w:tr>
      <w:tr w:rsidR="00FB388D" w:rsidRPr="000A61EE" w14:paraId="7BD9F106" w14:textId="77777777" w:rsidTr="00FB388D">
        <w:trPr>
          <w:trHeight w:val="27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11A97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9EFF3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B2C32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F613B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940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3D1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8 378,46500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5FF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2F5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07A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675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593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732A7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30DEA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645F3A3" w14:textId="77777777" w:rsidTr="00FB388D">
        <w:trPr>
          <w:trHeight w:val="27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05CE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8EF2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мероприятий по обучению, переобучению, повышению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и обмену опытом специалистов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B479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598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26F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E84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5 033,48130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28F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361,93626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17F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69B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8FC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B56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669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721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951195F" w14:textId="77777777" w:rsidTr="00FB388D">
        <w:trPr>
          <w:trHeight w:val="4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83C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B27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C0D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061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A89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F1C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2 409,88130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727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146,93626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9C1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F0E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946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36B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2C0E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72B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Оформление подписки на методические материалы с целью поддержания необходимого профессионального уровня.</w:t>
            </w:r>
          </w:p>
        </w:tc>
      </w:tr>
      <w:tr w:rsidR="00FB388D" w:rsidRPr="000A61EE" w14:paraId="49D84676" w14:textId="77777777" w:rsidTr="00FB388D">
        <w:trPr>
          <w:trHeight w:val="14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162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71F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F97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BAF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D3C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38C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F85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588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EF3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E51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1C0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809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470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B388D" w:rsidRPr="000A61EE" w14:paraId="425BD460" w14:textId="77777777" w:rsidTr="00FB388D">
        <w:trPr>
          <w:trHeight w:val="13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E6D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EAD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312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0A2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313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DE6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132,00000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0F2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118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571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EE5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74B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88D0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81B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FB388D" w:rsidRPr="000A61EE" w14:paraId="326BB1F4" w14:textId="77777777" w:rsidTr="00FB388D">
        <w:trPr>
          <w:trHeight w:val="13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40D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3DE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4B5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179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73D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C83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1 200,00000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8A6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4F5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8AF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98D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8D3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2CC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921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B388D" w:rsidRPr="000A61EE" w14:paraId="34F36A23" w14:textId="77777777" w:rsidTr="00FB388D">
        <w:trPr>
          <w:trHeight w:val="13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6A95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1.1.5.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73C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3E1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B2A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965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C08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771,60000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062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31,00000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64E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B2E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4E2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4E5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3A9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E03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B388D" w:rsidRPr="000A61EE" w14:paraId="78927EBB" w14:textId="77777777" w:rsidTr="00FB388D">
        <w:trPr>
          <w:trHeight w:val="3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BA2B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5D2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61EE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D28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366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0A61E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9B9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895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3 344,98370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788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67F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A2C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990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B13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039A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E87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A61EE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FB388D" w:rsidRPr="000A61EE" w14:paraId="0CC27B92" w14:textId="77777777" w:rsidTr="00FB388D">
        <w:trPr>
          <w:trHeight w:val="555"/>
        </w:trPr>
        <w:tc>
          <w:tcPr>
            <w:tcW w:w="3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EE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879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F94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8 378,46500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27C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2CE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50F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2D6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7B79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AA4B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2B4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7A28BEAA" w14:textId="77777777" w:rsidTr="00FB388D">
        <w:trPr>
          <w:trHeight w:val="510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40A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B58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4BA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8 378,4650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C58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1 030,9330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715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1 836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,88300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E1A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1 836,88300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AA7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1 836,88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F9F8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1 836,883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7C10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123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6CC6E4BC" w14:textId="77777777" w:rsidTr="00FB388D">
        <w:trPr>
          <w:trHeight w:val="660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752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FB388D" w:rsidRPr="000A61EE" w14:paraId="4BE3BB5B" w14:textId="77777777" w:rsidTr="00FB388D">
        <w:trPr>
          <w:trHeight w:val="121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41F2A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06383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A8AB5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C21C8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CCF42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BF743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D9C84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5406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073B3F81" w14:textId="77777777" w:rsidTr="00FB388D">
        <w:trPr>
          <w:trHeight w:val="22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5E0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602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CC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F17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B61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B77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6C8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4D7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FB388D" w:rsidRPr="000A61EE" w14:paraId="4495260D" w14:textId="77777777" w:rsidTr="00FB388D">
        <w:trPr>
          <w:trHeight w:val="19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E6D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C20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BDB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002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F79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0A2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AAA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8CE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FB388D" w:rsidRPr="000A61EE" w14:paraId="174156A0" w14:textId="77777777" w:rsidTr="00FB388D">
        <w:trPr>
          <w:trHeight w:val="27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9A0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38E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Формирование прогноза поступлений налоговых и неналоговых доходов в местный бюджет на предстоящий месяц в целях детального прогнозирования ассигнований для финансирования расходов (1.53)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2B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8F2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4A6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CBE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3F6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134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FB388D" w:rsidRPr="000A61EE" w14:paraId="7E38791F" w14:textId="77777777" w:rsidTr="00FB388D">
        <w:trPr>
          <w:trHeight w:val="214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4E4B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6D08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A2CD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752F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6377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B363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A945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ADE8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FB388D" w:rsidRPr="000A61EE" w14:paraId="59856D04" w14:textId="77777777" w:rsidTr="00FB388D">
        <w:trPr>
          <w:trHeight w:val="349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8B996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895AC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процесса в муниципальных образованиях Московской области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6CC4B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C33EF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53D3E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F487D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0C8E9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7DD6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41CBF6A0" w14:textId="77777777" w:rsidTr="00FB388D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41FE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9890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AF21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7263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0EF9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E3E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8D40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B4E6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FB388D" w:rsidRPr="000A61EE" w14:paraId="2795B398" w14:textId="77777777" w:rsidTr="00FB388D">
        <w:trPr>
          <w:trHeight w:val="91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C121E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3F7E1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D49E3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C6220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716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3B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09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E8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AE4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AD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31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65E69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B6CB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215B9D2" w14:textId="77777777" w:rsidTr="00FB388D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9A4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30E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бюджетным кредитам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77C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969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00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91,23288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1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54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DC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31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49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CB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591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65A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FB388D" w:rsidRPr="000A61EE" w14:paraId="0E6FB228" w14:textId="77777777" w:rsidTr="00FB388D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6745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94F1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D303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0045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BE1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38 200,00000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90E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D9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421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C8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8A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750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6A7D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2B6E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FB388D" w:rsidRPr="000A61EE" w14:paraId="04C35C96" w14:textId="77777777" w:rsidTr="00FB388D">
        <w:trPr>
          <w:trHeight w:val="18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12742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FE20C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задолженности в расходах бюджета городского округа</w:t>
            </w:r>
            <w:r w:rsidRPr="000A61E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3B753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0D78E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F2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C2B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83562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DD8C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9A4DFBE" w14:textId="77777777" w:rsidTr="00FB388D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A2B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E1A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EDC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A52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85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33A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638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5EC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FB388D" w:rsidRPr="000A61EE" w14:paraId="15D40D1C" w14:textId="77777777" w:rsidTr="00FB388D">
        <w:trPr>
          <w:trHeight w:val="13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366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874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Инвентаризация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665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FBC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C2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9E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BA1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</w:r>
            <w:r w:rsidRPr="000A61EE">
              <w:rPr>
                <w:rFonts w:ascii="Arial" w:hAnsi="Arial" w:cs="Arial"/>
                <w:sz w:val="24"/>
                <w:szCs w:val="24"/>
                <w:u w:val="single"/>
              </w:rPr>
              <w:t xml:space="preserve">Территориальных управления </w:t>
            </w:r>
            <w:r w:rsidRPr="000A61EE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779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FB388D" w:rsidRPr="000A61EE" w14:paraId="378B579F" w14:textId="77777777" w:rsidTr="00FB388D">
        <w:trPr>
          <w:trHeight w:val="480"/>
        </w:trPr>
        <w:tc>
          <w:tcPr>
            <w:tcW w:w="3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A25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F1A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EFD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75C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F9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878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5C4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7CA8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D33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EE7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23CA717C" w14:textId="77777777" w:rsidTr="00FB388D">
        <w:trPr>
          <w:trHeight w:val="465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2ED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3A1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F58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F09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F74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FC2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B8E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D04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132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CE2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7D08B3BF" w14:textId="77777777" w:rsidTr="00FB388D">
        <w:trPr>
          <w:trHeight w:val="76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736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«Обеспечивающая подпрограмма»</w:t>
            </w:r>
          </w:p>
        </w:tc>
      </w:tr>
      <w:tr w:rsidR="00FB388D" w:rsidRPr="000A61EE" w14:paraId="7C20F8FB" w14:textId="77777777" w:rsidTr="00FB388D">
        <w:trPr>
          <w:trHeight w:val="181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E4AB7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92981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E2B75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9FD1B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BFF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0FB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8 549 404,67905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C71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1 771 226,08480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38A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1 695 791,81900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B42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1 647 268,29725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8F8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648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20D4B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8CDDA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8D3F137" w14:textId="77777777" w:rsidTr="00FB388D">
        <w:trPr>
          <w:trHeight w:val="118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CABC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794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3FC7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6E7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DA7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2 829,03500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F90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30 773,47500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5E0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E58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267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56F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F52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E43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7C8A5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FB388D" w:rsidRPr="000A61EE" w14:paraId="75516F39" w14:textId="77777777" w:rsidTr="00FB388D">
        <w:trPr>
          <w:trHeight w:val="130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D99B0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1C4EE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0BD01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3A792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26C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483 783,65500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86A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1 996 056,30220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6C8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530 415,81195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03B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367 657,26800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04F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319 133,84625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DCF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AF2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80BF2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319C9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FB388D" w:rsidRPr="000A61EE" w14:paraId="79C3E1D9" w14:textId="77777777" w:rsidTr="00FB388D">
        <w:trPr>
          <w:trHeight w:val="106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24CF2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2BBEF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Комитеты и отраслевые управления при администра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49111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21B4F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Средства бюджета ОГО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1DA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796 541,02500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B3E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3 759 628,94907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AB6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658 038,31707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B72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2F6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775 397,58300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4D2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358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922E4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06324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1B921868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3F0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2A3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5F2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6F8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807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62 738,04000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167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223 116,60600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07D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56 737,81400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1A5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A91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DDD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CFD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FFDE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C44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FB388D" w:rsidRPr="000A61EE" w14:paraId="71E61CFE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F0DF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BCA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951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145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E85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054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591 467,63523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41D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98 464,71523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E4A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28C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C21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D2D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07F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FBA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FB388D" w:rsidRPr="000A61EE" w14:paraId="60A3D18A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289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A286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3D6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880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3F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D65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538 978,36436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16F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78 474,36436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996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EDC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1AA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6DA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A81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F0B5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FB388D" w:rsidRPr="000A61EE" w14:paraId="38F6A94E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849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2B3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42A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036A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F9B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782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188 178,12840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C49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37 886,84840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86B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732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448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342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978A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CF1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FB388D" w:rsidRPr="000A61EE" w14:paraId="54F95500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EA2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8CBB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AD98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811E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66B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633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207 356,55000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A5B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29 919,31000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9B7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498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8E2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1F2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ACE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221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FB388D" w:rsidRPr="000A61EE" w14:paraId="16B7AF75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D01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2F70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73C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932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19C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ABE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172 952,90000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DD6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28 629,80000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E21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CFB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36 080,70000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A7B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1A3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682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F42E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FB388D" w:rsidRPr="000A61EE" w14:paraId="353A9095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CCE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C87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CA0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98E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982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FFE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154 166,00000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7AA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25 858,00000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8A8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D8D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D01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618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AFB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FAD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FB388D" w:rsidRPr="000A61EE" w14:paraId="6EE69DF2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629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33F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928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177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DC7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65C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183 516,46923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556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25 878,06923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7A4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C76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D38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B29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2EC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A0E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FB388D" w:rsidRPr="000A61EE" w14:paraId="4782578B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62E5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DEB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3E5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69D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918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F73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238 652,05365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70B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38 824,45365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237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A56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84E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809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F057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83F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FB388D" w:rsidRPr="000A61EE" w14:paraId="3D386AAC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42A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656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ECF3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D81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51F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0F3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144 711,61000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FB2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22 926,32200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A4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5F9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756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D8A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124E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E41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FB388D" w:rsidRPr="000A61EE" w14:paraId="39670FC9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2F4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E57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562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EF24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444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E6A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100 555,61356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AD2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20 483,61356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56C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178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DDA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254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392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F41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FB388D" w:rsidRPr="000A61EE" w14:paraId="1BAB46A3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632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379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AD4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DF6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4A8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0E8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152 676,00000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3ED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29 736,00000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8F5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193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F7F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075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930D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4DB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FB388D" w:rsidRPr="000A61EE" w14:paraId="2D897228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18BB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F32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B73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5C4F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5D7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969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134 202,88324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C15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25 752,75124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7C0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F1D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261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EC3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D13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0F4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FB388D" w:rsidRPr="000A61EE" w14:paraId="5C45365A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22D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DEA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A87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DA1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974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0A8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94 009,30000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1D8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25 471,78000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B68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482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0EF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6EE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C3EB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082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FB388D" w:rsidRPr="000A61EE" w14:paraId="4290680E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2FC6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CFD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1FF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EF9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674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650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127 815,00000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09E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24 075,00000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5070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13F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41B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FB0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A36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5AD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FB388D" w:rsidRPr="000A61EE" w14:paraId="0037A161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C95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CEF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EB4F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312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CC0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3C7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159 306,83540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F70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28 004,47540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571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A4A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ADA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E3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19B8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1CD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FB388D" w:rsidRPr="000A61EE" w14:paraId="47B5300F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6B2F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BEC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04CC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891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420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A88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228 158,00000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A7D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37 322,00000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E5C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FB1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FF4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BAD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6E5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1090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FB388D" w:rsidRPr="000A61EE" w14:paraId="546A888F" w14:textId="77777777" w:rsidTr="00FB388D">
        <w:trPr>
          <w:trHeight w:val="9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017E5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1.3.18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59007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7295F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EEFC7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563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3E2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119 809,00000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F9E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23 593,00000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A7B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7D7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B06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154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66A8B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63B02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FB388D" w:rsidRPr="000A61EE" w14:paraId="397727F4" w14:textId="77777777" w:rsidTr="00FB388D">
        <w:trPr>
          <w:trHeight w:val="135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05CA7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34FC0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органов - комитет по экономике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B4F58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3D02C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77D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7F98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DA2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3EF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956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33B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95C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944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CB4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FB388D" w:rsidRPr="000A61EE" w14:paraId="667917B7" w14:textId="77777777" w:rsidTr="00FB388D">
        <w:trPr>
          <w:trHeight w:val="10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44883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2A983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1F82C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E9CB1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ECC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71 397,00000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699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340 600,00000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75B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71 544,00000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89C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B6D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F89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0E5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5272F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0A43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FB388D" w:rsidRPr="000A61EE" w14:paraId="3F6F56B7" w14:textId="77777777" w:rsidTr="00FB388D">
        <w:trPr>
          <w:trHeight w:val="26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AEB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2F214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1DCAB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868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97B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249 808,00000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4E2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1 307 040,83500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C4E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261 882,90300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A05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16C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C2D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879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11B5F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FB5D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04E11CAF" w14:textId="77777777" w:rsidTr="00FB388D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761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E80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640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5AA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7B8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231 270,00000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04B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1 300 270,26831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F6E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255 112,33631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FEB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9E6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DE6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574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0EE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476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FB388D" w:rsidRPr="000A61EE" w14:paraId="61AAD27B" w14:textId="77777777" w:rsidTr="00FB388D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16114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0E6D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МКУ "ЦБ образования, культуры, спорта, </w:t>
            </w: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туризма"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C4CC7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4BC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7EF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18 538,00000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83D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DA5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76B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00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870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8A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E811F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052D6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FB388D" w:rsidRPr="000A61EE" w14:paraId="47A7DDC0" w14:textId="77777777" w:rsidTr="00FB388D">
        <w:trPr>
          <w:trHeight w:val="216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59964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E6B7C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23FCC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A4D7F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47F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209 338,22300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07D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1 112 337,47778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F04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243 190,35778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31C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674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DC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509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5A990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ACA7A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23E3B758" w14:textId="77777777" w:rsidTr="00FB388D">
        <w:trPr>
          <w:trHeight w:val="15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D7C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D77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0FEE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912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805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29 875,48100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A1C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139 278,00000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4C8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4BC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347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445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D32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94F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C5C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FB388D" w:rsidRPr="000A61EE" w14:paraId="7885BED2" w14:textId="77777777" w:rsidTr="00FB388D">
        <w:trPr>
          <w:trHeight w:val="24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601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C4A3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F7F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084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9E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88 358,16800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DC8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431 183,40968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44A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105 179,40968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60F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69E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8C2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26A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80CF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19B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FB388D" w:rsidRPr="000A61EE" w14:paraId="369A52C8" w14:textId="77777777" w:rsidTr="00FB388D">
        <w:trPr>
          <w:trHeight w:val="18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7EB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193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E13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E874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6C1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75 863,57400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0F1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357 850,00000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88D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69 570,00000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F6D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ACE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193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6A9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4DB6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9DA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FB388D" w:rsidRPr="000A61EE" w14:paraId="575AEE3F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9C3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065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0A61E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6880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414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CDE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0EF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41 067,50000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800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6 613,50000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982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396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F13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D22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EFB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F3FA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B388D" w:rsidRPr="000A61EE" w14:paraId="5150C8F4" w14:textId="77777777" w:rsidTr="00FB388D">
        <w:trPr>
          <w:trHeight w:val="90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2C06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4CF1C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E3895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0E6C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1F1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ED9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125 132,26810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F9C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18 251,14810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AEF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523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AD9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811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3096F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1C575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B388D" w:rsidRPr="000A61EE" w14:paraId="1931D713" w14:textId="77777777" w:rsidTr="00FB388D">
        <w:trPr>
          <w:trHeight w:val="12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A210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11714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331D3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775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17B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18B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643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B19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508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570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F35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CB799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03A08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B388D" w:rsidRPr="000A61EE" w14:paraId="2D4A53E4" w14:textId="77777777" w:rsidTr="00FB388D">
        <w:trPr>
          <w:trHeight w:val="174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14B5B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8B0D3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86962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1F3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AB5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69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10F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Администрации Одинцовского городского округа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B68E3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7ADBA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FB388D" w:rsidRPr="000A61EE" w14:paraId="0598A691" w14:textId="77777777" w:rsidTr="00FB388D">
        <w:trPr>
          <w:trHeight w:val="17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8115B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2AD6A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7AE32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E28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433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62E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0E6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70B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209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E44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547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9A8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4929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FB388D" w:rsidRPr="000A61EE" w14:paraId="5CC94058" w14:textId="77777777" w:rsidTr="00FB388D">
        <w:trPr>
          <w:trHeight w:val="26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3AB7E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AD1D3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467EB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84C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78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885,15500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E372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2 967,64000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4F40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24F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D67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D49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AA7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F51EE7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AF652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области, Ассоциацию "Породненные города")</w:t>
            </w:r>
          </w:p>
        </w:tc>
      </w:tr>
      <w:tr w:rsidR="00FB388D" w:rsidRPr="000A61EE" w14:paraId="7F3D53CA" w14:textId="77777777" w:rsidTr="00FB388D">
        <w:trPr>
          <w:trHeight w:val="375"/>
        </w:trPr>
        <w:tc>
          <w:tcPr>
            <w:tcW w:w="3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75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A478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319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8 549 404,67905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195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1 771 226,08480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2B1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1 695 791,81900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27A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1 647 268,29725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6679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4EEE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B736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5B4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0C114428" w14:textId="77777777" w:rsidTr="00FB388D">
        <w:trPr>
          <w:trHeight w:val="495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5CC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80373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45CA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8 549 404,67905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74FB1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1 771 226,08480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9160F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1 695 791,81900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038B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1 647 268,29725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C49F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DD31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A45E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9EE4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455C3A25" w14:textId="77777777" w:rsidTr="00FB388D">
        <w:trPr>
          <w:trHeight w:val="360"/>
        </w:trPr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70764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F05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E0B7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C5A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F37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736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E9D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0E17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E3D2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DE9B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32774E68" w14:textId="77777777" w:rsidTr="00FB388D">
        <w:trPr>
          <w:trHeight w:val="615"/>
        </w:trPr>
        <w:tc>
          <w:tcPr>
            <w:tcW w:w="39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727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lastRenderedPageBreak/>
              <w:t>ВСЕГО по Программе, в том числе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DF1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1 890 798,69888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E38D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10 037 284,22622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82D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2 037 707,27197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848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2 008 141,40900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92F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2 010 617,88725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235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2 015 908,82900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6506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7D8DC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388D" w:rsidRPr="000A61EE" w14:paraId="79CC3332" w14:textId="77777777" w:rsidTr="00FB388D">
        <w:trPr>
          <w:trHeight w:val="615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C77F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1334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70FB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24C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A6B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35D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48A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75786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5A65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7D4F9950" w14:textId="77777777" w:rsidTr="00FB388D">
        <w:trPr>
          <w:trHeight w:val="615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D4F73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7169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1 867 548,69888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BC15" w14:textId="77777777" w:rsidR="00FB388D" w:rsidRPr="000A61EE" w:rsidRDefault="00FB388D" w:rsidP="00FB3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10 010 782,22622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63E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2 011 205,27197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221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2 008 141,40900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3E7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2 010 617,88725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970C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2 015 908,82900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875F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2269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6E31FB00" w14:textId="77777777" w:rsidTr="00FB388D">
        <w:trPr>
          <w:trHeight w:val="4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9B2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1D2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911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32C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1B4A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D0A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90B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054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B9EE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B55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378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F72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675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0DF5E8A8" w14:textId="77777777" w:rsidTr="00FB388D">
        <w:trPr>
          <w:trHeight w:val="84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7334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 ,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</w:t>
            </w:r>
          </w:p>
        </w:tc>
      </w:tr>
    </w:tbl>
    <w:p w14:paraId="6D6203A1" w14:textId="77777777" w:rsidR="00FB388D" w:rsidRPr="000A61EE" w:rsidRDefault="00FB388D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90"/>
        <w:gridCol w:w="1652"/>
        <w:gridCol w:w="816"/>
        <w:gridCol w:w="995"/>
        <w:gridCol w:w="1122"/>
        <w:gridCol w:w="1220"/>
        <w:gridCol w:w="1252"/>
        <w:gridCol w:w="641"/>
        <w:gridCol w:w="1700"/>
        <w:gridCol w:w="1032"/>
        <w:gridCol w:w="1130"/>
        <w:gridCol w:w="1129"/>
        <w:gridCol w:w="1607"/>
      </w:tblGrid>
      <w:tr w:rsidR="00FB388D" w:rsidRPr="000A61EE" w14:paraId="3BEF09FD" w14:textId="77777777" w:rsidTr="00FB388D">
        <w:trPr>
          <w:trHeight w:val="4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36AB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1C7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8248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CC76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BAF93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52A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7A22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488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495F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420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045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7D1A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3AF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88D" w:rsidRPr="000A61EE" w14:paraId="433B9C95" w14:textId="77777777" w:rsidTr="003F7E62">
        <w:trPr>
          <w:trHeight w:val="2632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ECD954" w14:textId="487F9B70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1EE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0A61EE">
              <w:rPr>
                <w:rFonts w:ascii="Arial" w:hAnsi="Arial" w:cs="Arial"/>
                <w:sz w:val="24"/>
                <w:szCs w:val="24"/>
              </w:rPr>
              <w:t xml:space="preserve">. заместителя Главы Администрации – 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>начальника Финансово-казначейского управления                                                                                       А.И. Бендо</w:t>
            </w:r>
          </w:p>
          <w:p w14:paraId="23DF292E" w14:textId="4666B60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  <w:r w:rsidRPr="000A61EE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0A61EE">
              <w:rPr>
                <w:rFonts w:ascii="Arial" w:hAnsi="Arial" w:cs="Arial"/>
                <w:sz w:val="24"/>
                <w:szCs w:val="24"/>
              </w:rPr>
              <w:br/>
              <w:t>бухгалтерского учета и отчетности –  главный бухгалтер                                                                 Н.А. Стародубова</w:t>
            </w:r>
          </w:p>
        </w:tc>
      </w:tr>
      <w:tr w:rsidR="00FB388D" w:rsidRPr="000A61EE" w14:paraId="7E7DE218" w14:textId="77777777" w:rsidTr="00FB388D">
        <w:trPr>
          <w:trHeight w:val="5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050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C52D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09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BFD5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151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2B2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0A4B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987E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AED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2EB5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C0D3" w14:textId="77777777" w:rsidR="00FB388D" w:rsidRPr="000A61EE" w:rsidRDefault="00FB388D" w:rsidP="00FB3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4E39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A5F1" w14:textId="77777777" w:rsidR="00FB388D" w:rsidRPr="000A61EE" w:rsidRDefault="00FB388D" w:rsidP="00FB3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2E5D5CA" w14:textId="05DCF9DE" w:rsidR="00BE59BB" w:rsidRPr="000A61EE" w:rsidRDefault="00BE59BB" w:rsidP="00FB388D">
      <w:pPr>
        <w:tabs>
          <w:tab w:val="left" w:pos="0"/>
          <w:tab w:val="left" w:pos="2100"/>
        </w:tabs>
        <w:ind w:firstLine="567"/>
        <w:rPr>
          <w:rFonts w:ascii="Arial" w:hAnsi="Arial" w:cs="Arial"/>
          <w:sz w:val="24"/>
          <w:szCs w:val="24"/>
        </w:rPr>
      </w:pPr>
    </w:p>
    <w:sectPr w:rsidR="00BE59BB" w:rsidRPr="000A61EE" w:rsidSect="00FB388D">
      <w:pgSz w:w="16838" w:h="11906" w:orient="landscape" w:code="9"/>
      <w:pgMar w:top="56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EC4E" w14:textId="77777777" w:rsidR="001C4E66" w:rsidRDefault="001C4E66">
      <w:r>
        <w:separator/>
      </w:r>
    </w:p>
  </w:endnote>
  <w:endnote w:type="continuationSeparator" w:id="0">
    <w:p w14:paraId="455F2FAE" w14:textId="77777777" w:rsidR="001C4E66" w:rsidRDefault="001C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7777777" w:rsidR="00782325" w:rsidRDefault="00782325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A91D0D" w14:textId="77777777" w:rsidR="00782325" w:rsidRDefault="00782325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782325" w:rsidRDefault="00782325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6B9C" w14:textId="77777777" w:rsidR="001C4E66" w:rsidRDefault="001C4E66">
      <w:r>
        <w:separator/>
      </w:r>
    </w:p>
  </w:footnote>
  <w:footnote w:type="continuationSeparator" w:id="0">
    <w:p w14:paraId="4450F83A" w14:textId="77777777" w:rsidR="001C4E66" w:rsidRDefault="001C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296E"/>
    <w:rsid w:val="0001313A"/>
    <w:rsid w:val="000138E8"/>
    <w:rsid w:val="000154FC"/>
    <w:rsid w:val="0001621A"/>
    <w:rsid w:val="0001680D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424B9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3D6A"/>
    <w:rsid w:val="00074866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B17"/>
    <w:rsid w:val="000A54EF"/>
    <w:rsid w:val="000A5583"/>
    <w:rsid w:val="000A60AA"/>
    <w:rsid w:val="000A61EE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F1C99"/>
    <w:rsid w:val="000F62BF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62C2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7653"/>
    <w:rsid w:val="0016786D"/>
    <w:rsid w:val="00171A13"/>
    <w:rsid w:val="00171DE1"/>
    <w:rsid w:val="001725F5"/>
    <w:rsid w:val="00173624"/>
    <w:rsid w:val="00175ED6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4E66"/>
    <w:rsid w:val="001C686E"/>
    <w:rsid w:val="001C6A6A"/>
    <w:rsid w:val="001D15F9"/>
    <w:rsid w:val="001D23B7"/>
    <w:rsid w:val="001D36AC"/>
    <w:rsid w:val="001D3938"/>
    <w:rsid w:val="001D46BA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FA9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539B"/>
    <w:rsid w:val="00245AD6"/>
    <w:rsid w:val="00245CE5"/>
    <w:rsid w:val="002503DB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D0FD5"/>
    <w:rsid w:val="002D25E0"/>
    <w:rsid w:val="002D55C4"/>
    <w:rsid w:val="002D6BF8"/>
    <w:rsid w:val="002D7EE8"/>
    <w:rsid w:val="002E039E"/>
    <w:rsid w:val="002E29BE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7290"/>
    <w:rsid w:val="003172A1"/>
    <w:rsid w:val="003218B6"/>
    <w:rsid w:val="00322CF7"/>
    <w:rsid w:val="003238DC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33F1"/>
    <w:rsid w:val="00393B0E"/>
    <w:rsid w:val="00394509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D53"/>
    <w:rsid w:val="00465A56"/>
    <w:rsid w:val="00466320"/>
    <w:rsid w:val="00467551"/>
    <w:rsid w:val="0047238E"/>
    <w:rsid w:val="00472736"/>
    <w:rsid w:val="00472D14"/>
    <w:rsid w:val="00475057"/>
    <w:rsid w:val="004756B1"/>
    <w:rsid w:val="00476238"/>
    <w:rsid w:val="004766DF"/>
    <w:rsid w:val="00477355"/>
    <w:rsid w:val="00477A8A"/>
    <w:rsid w:val="00484A51"/>
    <w:rsid w:val="00485EA0"/>
    <w:rsid w:val="00487B1D"/>
    <w:rsid w:val="00491006"/>
    <w:rsid w:val="00491708"/>
    <w:rsid w:val="0049604B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29C4"/>
    <w:rsid w:val="00503348"/>
    <w:rsid w:val="0050424B"/>
    <w:rsid w:val="0050432E"/>
    <w:rsid w:val="00504570"/>
    <w:rsid w:val="00505B15"/>
    <w:rsid w:val="00506A14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FB3"/>
    <w:rsid w:val="005479EA"/>
    <w:rsid w:val="0055026A"/>
    <w:rsid w:val="00554104"/>
    <w:rsid w:val="00560B87"/>
    <w:rsid w:val="005617E3"/>
    <w:rsid w:val="00562182"/>
    <w:rsid w:val="00564B4D"/>
    <w:rsid w:val="00564CC4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A0B48"/>
    <w:rsid w:val="005A17EC"/>
    <w:rsid w:val="005A2924"/>
    <w:rsid w:val="005A36EE"/>
    <w:rsid w:val="005A4F52"/>
    <w:rsid w:val="005B1579"/>
    <w:rsid w:val="005B1F1E"/>
    <w:rsid w:val="005B2578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D1D32"/>
    <w:rsid w:val="005D3B58"/>
    <w:rsid w:val="005D5506"/>
    <w:rsid w:val="005D5A9B"/>
    <w:rsid w:val="005D613E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6BAF"/>
    <w:rsid w:val="00636EFA"/>
    <w:rsid w:val="00637809"/>
    <w:rsid w:val="00642313"/>
    <w:rsid w:val="00642BC0"/>
    <w:rsid w:val="00644AD9"/>
    <w:rsid w:val="00647DF6"/>
    <w:rsid w:val="006501A5"/>
    <w:rsid w:val="00651DB3"/>
    <w:rsid w:val="00653552"/>
    <w:rsid w:val="00657269"/>
    <w:rsid w:val="00662FF8"/>
    <w:rsid w:val="00663171"/>
    <w:rsid w:val="0066372C"/>
    <w:rsid w:val="00663847"/>
    <w:rsid w:val="006657E5"/>
    <w:rsid w:val="006666EE"/>
    <w:rsid w:val="00670BD4"/>
    <w:rsid w:val="00672E71"/>
    <w:rsid w:val="00673B98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698"/>
    <w:rsid w:val="006B1CB5"/>
    <w:rsid w:val="006B2962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2F66"/>
    <w:rsid w:val="007F3A90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2144"/>
    <w:rsid w:val="0081368B"/>
    <w:rsid w:val="00813710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80C83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2D2D"/>
    <w:rsid w:val="00912FBB"/>
    <w:rsid w:val="00914FDB"/>
    <w:rsid w:val="00915EA7"/>
    <w:rsid w:val="009163BE"/>
    <w:rsid w:val="00924EEF"/>
    <w:rsid w:val="0092646A"/>
    <w:rsid w:val="00927823"/>
    <w:rsid w:val="009310E1"/>
    <w:rsid w:val="0093191F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28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F62"/>
    <w:rsid w:val="009D3088"/>
    <w:rsid w:val="009D7D94"/>
    <w:rsid w:val="009E18D5"/>
    <w:rsid w:val="009E54FF"/>
    <w:rsid w:val="009E5844"/>
    <w:rsid w:val="009E6CA1"/>
    <w:rsid w:val="009E760C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7D0E"/>
    <w:rsid w:val="00A30198"/>
    <w:rsid w:val="00A308FC"/>
    <w:rsid w:val="00A30DAE"/>
    <w:rsid w:val="00A318CC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1493"/>
    <w:rsid w:val="00AF23D4"/>
    <w:rsid w:val="00AF2E20"/>
    <w:rsid w:val="00AF3190"/>
    <w:rsid w:val="00AF52FC"/>
    <w:rsid w:val="00AF5BBA"/>
    <w:rsid w:val="00AF74DD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258E"/>
    <w:rsid w:val="00B7528B"/>
    <w:rsid w:val="00B75EA1"/>
    <w:rsid w:val="00B7646E"/>
    <w:rsid w:val="00B7667F"/>
    <w:rsid w:val="00B76952"/>
    <w:rsid w:val="00B77F5E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3B94"/>
    <w:rsid w:val="00C34E3E"/>
    <w:rsid w:val="00C35E27"/>
    <w:rsid w:val="00C3642A"/>
    <w:rsid w:val="00C3702E"/>
    <w:rsid w:val="00C37D76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ABE"/>
    <w:rsid w:val="00C763B7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C2D3B"/>
    <w:rsid w:val="00CC3F87"/>
    <w:rsid w:val="00CC4AB0"/>
    <w:rsid w:val="00CC57F6"/>
    <w:rsid w:val="00CC7343"/>
    <w:rsid w:val="00CD59DD"/>
    <w:rsid w:val="00CD6A59"/>
    <w:rsid w:val="00CE02C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2442"/>
    <w:rsid w:val="00D525AD"/>
    <w:rsid w:val="00D53821"/>
    <w:rsid w:val="00D54A5C"/>
    <w:rsid w:val="00D566A9"/>
    <w:rsid w:val="00D56BCF"/>
    <w:rsid w:val="00D57BFD"/>
    <w:rsid w:val="00D640E2"/>
    <w:rsid w:val="00D6608E"/>
    <w:rsid w:val="00D6663A"/>
    <w:rsid w:val="00D668EF"/>
    <w:rsid w:val="00D67A3B"/>
    <w:rsid w:val="00D70544"/>
    <w:rsid w:val="00D7054B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E022F"/>
    <w:rsid w:val="00DE081D"/>
    <w:rsid w:val="00DE0B50"/>
    <w:rsid w:val="00DE0BF1"/>
    <w:rsid w:val="00DE1E34"/>
    <w:rsid w:val="00DE2961"/>
    <w:rsid w:val="00DE4DA6"/>
    <w:rsid w:val="00DE5611"/>
    <w:rsid w:val="00DE635B"/>
    <w:rsid w:val="00DE6DB2"/>
    <w:rsid w:val="00DF0A90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C49"/>
    <w:rsid w:val="00E63665"/>
    <w:rsid w:val="00E646E6"/>
    <w:rsid w:val="00E6492D"/>
    <w:rsid w:val="00E64EE6"/>
    <w:rsid w:val="00E743B2"/>
    <w:rsid w:val="00E755C1"/>
    <w:rsid w:val="00E8092B"/>
    <w:rsid w:val="00E83AA3"/>
    <w:rsid w:val="00E8480E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941"/>
    <w:rsid w:val="00EB1ABE"/>
    <w:rsid w:val="00EB1B0D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5F04"/>
    <w:rsid w:val="00F06C08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31501"/>
    <w:rsid w:val="00F32B13"/>
    <w:rsid w:val="00F32E47"/>
    <w:rsid w:val="00F3318D"/>
    <w:rsid w:val="00F3342E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68E3"/>
    <w:rsid w:val="00F97579"/>
    <w:rsid w:val="00FA0658"/>
    <w:rsid w:val="00FA1B44"/>
    <w:rsid w:val="00FA2A7D"/>
    <w:rsid w:val="00FA457B"/>
    <w:rsid w:val="00FA5108"/>
    <w:rsid w:val="00FA5E81"/>
    <w:rsid w:val="00FA6884"/>
    <w:rsid w:val="00FA68D4"/>
    <w:rsid w:val="00FB22DA"/>
    <w:rsid w:val="00FB2DBE"/>
    <w:rsid w:val="00FB388D"/>
    <w:rsid w:val="00FB43B2"/>
    <w:rsid w:val="00FB4F30"/>
    <w:rsid w:val="00FB66B9"/>
    <w:rsid w:val="00FC0587"/>
    <w:rsid w:val="00FC37A3"/>
    <w:rsid w:val="00FC3AC4"/>
    <w:rsid w:val="00FC3D70"/>
    <w:rsid w:val="00FC509C"/>
    <w:rsid w:val="00FC76DF"/>
    <w:rsid w:val="00FD18A1"/>
    <w:rsid w:val="00FD4213"/>
    <w:rsid w:val="00FD4A46"/>
    <w:rsid w:val="00FD7815"/>
    <w:rsid w:val="00FE1C4A"/>
    <w:rsid w:val="00FE4BBB"/>
    <w:rsid w:val="00FE5819"/>
    <w:rsid w:val="00FE7023"/>
    <w:rsid w:val="00FE775F"/>
    <w:rsid w:val="00FF061D"/>
    <w:rsid w:val="00FF3286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FB388D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FB388D"/>
    <w:rPr>
      <w:color w:val="954F72"/>
      <w:u w:val="single"/>
    </w:rPr>
  </w:style>
  <w:style w:type="paragraph" w:customStyle="1" w:styleId="font0">
    <w:name w:val="font0"/>
    <w:basedOn w:val="a"/>
    <w:rsid w:val="00FB388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FB38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B38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FB38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FB388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B38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B388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B388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B38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B388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FB38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B388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B388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B388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B388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B38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B388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B388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B388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B388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B388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B388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FB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B38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FB388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FB38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FB38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FB38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FB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FB38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FB38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FB38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FB38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FB388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FB38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FB38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FB38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FB38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FB388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FB38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FB388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FB388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FB388D"/>
    <w:pP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250">
    <w:name w:val="xl250"/>
    <w:basedOn w:val="a"/>
    <w:rsid w:val="00FB388D"/>
    <w:pP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FB388D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FB388D"/>
    <w:rPr>
      <w:color w:val="954F72"/>
      <w:u w:val="single"/>
    </w:rPr>
  </w:style>
  <w:style w:type="paragraph" w:customStyle="1" w:styleId="font0">
    <w:name w:val="font0"/>
    <w:basedOn w:val="a"/>
    <w:rsid w:val="00FB388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FB38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B38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FB38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FB388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B38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B388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B388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B38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FB388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B388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FB38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B388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B388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B388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B388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B38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B388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B388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B388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B388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B388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B388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FB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B38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FB388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FB38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FB38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FB38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FB38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FB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FB3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FB38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FB38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FB38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FB3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FB38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FB38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FB38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FB3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FB38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FB38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FB38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FB388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FB38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FB3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FB38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FB38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FB38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FB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FB38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FB38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FB388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FB38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FB388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FB388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FB388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FB38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FB388D"/>
    <w:pP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250">
    <w:name w:val="xl250"/>
    <w:basedOn w:val="a"/>
    <w:rsid w:val="00FB388D"/>
    <w:pP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38AB-A04A-4A82-A3E6-2A082A8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35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15</cp:revision>
  <cp:lastPrinted>2020-09-17T06:17:00Z</cp:lastPrinted>
  <dcterms:created xsi:type="dcterms:W3CDTF">2020-08-04T12:02:00Z</dcterms:created>
  <dcterms:modified xsi:type="dcterms:W3CDTF">2020-09-22T06:49:00Z</dcterms:modified>
</cp:coreProperties>
</file>