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1" w:type="dxa"/>
        <w:tblLook w:val="04A0" w:firstRow="1" w:lastRow="0" w:firstColumn="1" w:lastColumn="0" w:noHBand="0" w:noVBand="1"/>
      </w:tblPr>
      <w:tblGrid>
        <w:gridCol w:w="4644"/>
        <w:gridCol w:w="4987"/>
      </w:tblGrid>
      <w:tr w:rsidR="00735939" w:rsidRPr="00735939" w:rsidTr="00735939">
        <w:tc>
          <w:tcPr>
            <w:tcW w:w="4644" w:type="dxa"/>
          </w:tcPr>
          <w:p w:rsidR="00735939" w:rsidRPr="00735939" w:rsidRDefault="00735939" w:rsidP="00C4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hideMark/>
          </w:tcPr>
          <w:p w:rsidR="00735939" w:rsidRDefault="00735939" w:rsidP="00C4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C40E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73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постановлением Администрации Одинцовского </w:t>
            </w:r>
            <w:r w:rsidR="002810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городского округа</w:t>
            </w:r>
            <w:r w:rsidRPr="0073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Московской области от </w:t>
            </w:r>
            <w:r w:rsidR="008E0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27.12.2019 </w:t>
            </w:r>
            <w:r w:rsidRPr="00735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8E0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2324</w:t>
            </w:r>
          </w:p>
          <w:p w:rsidR="008E05E4" w:rsidRPr="00735939" w:rsidRDefault="008E05E4" w:rsidP="00C4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35939" w:rsidRPr="00735939" w:rsidRDefault="00735939" w:rsidP="00C4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939" w:rsidRPr="00735939" w:rsidRDefault="00735939" w:rsidP="00C4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939" w:rsidRPr="00735939" w:rsidRDefault="00735939" w:rsidP="00C4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</w:t>
      </w:r>
      <w:r w:rsidR="00C40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735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муниципальной услуги</w:t>
      </w:r>
    </w:p>
    <w:p w:rsidR="00D2240E" w:rsidRPr="00F0327D" w:rsidRDefault="00D2240E" w:rsidP="00C40E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спортивной подготовке по олимпийским видам спорта</w:t>
      </w:r>
    </w:p>
    <w:p w:rsidR="00C40EFF" w:rsidRDefault="00C40EFF" w:rsidP="00C40EFF">
      <w:pPr>
        <w:shd w:val="clear" w:color="auto" w:fill="FFFFFF"/>
        <w:spacing w:after="0" w:line="240" w:lineRule="auto"/>
        <w:ind w:left="-851" w:right="-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2240E" w:rsidRPr="00C40EFF" w:rsidRDefault="00D2240E" w:rsidP="00C40E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28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40EF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C40EFF" w:rsidRPr="00C40EFF" w:rsidRDefault="00C40EFF" w:rsidP="00C40EFF">
      <w:pPr>
        <w:pStyle w:val="a8"/>
        <w:shd w:val="clear" w:color="auto" w:fill="FFFFFF"/>
        <w:spacing w:after="0" w:line="240" w:lineRule="auto"/>
        <w:ind w:right="-28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2240E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Наименование муниципальной услуги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Спортивная подготовка по олимпийским видам спорта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муниципальная услуга).</w:t>
      </w:r>
    </w:p>
    <w:p w:rsidR="00D2240E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Содержание муниципальной услуги</w:t>
      </w:r>
    </w:p>
    <w:tbl>
      <w:tblPr>
        <w:tblW w:w="0" w:type="auto"/>
        <w:tblInd w:w="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960"/>
      </w:tblGrid>
      <w:tr w:rsidR="00D2240E" w:rsidRPr="00F0327D" w:rsidTr="002810E2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2240E" w:rsidRPr="00F0327D" w:rsidTr="002810E2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EA453C" w:rsidP="00C40EFF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Бадминтон, Баскетбол, Бокс, Велоспорт-</w:t>
            </w:r>
            <w:proofErr w:type="spellStart"/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маунтинбайк</w:t>
            </w:r>
            <w:proofErr w:type="spellEnd"/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Волейбол, Спортивная борьба, Конный спорт, Легкая атлетика, Лы</w:t>
            </w:r>
            <w:r w:rsidR="00974196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жные гонки, Настольный теннис, П</w:t>
            </w: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лавание</w:t>
            </w:r>
            <w:r w:rsidR="00974196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Пулевая стрельба, Софтбол, Стрельба из лука, Теннис, Тхэквондо, Тяжелая атлетика, Фехтование, Футбол, Художественная гимнастика, Дзюдо, Хоккей, Фигурное катание</w:t>
            </w:r>
            <w:r w:rsidR="009A5864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коньках</w:t>
            </w:r>
            <w:r w:rsidR="0070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Каратэ, Спортивна</w:t>
            </w:r>
            <w:r w:rsidR="004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гимнастика, Горнолыжный спорт, Каратэ.</w:t>
            </w:r>
            <w:proofErr w:type="gramEnd"/>
          </w:p>
        </w:tc>
      </w:tr>
    </w:tbl>
    <w:p w:rsidR="00D2240E" w:rsidRPr="00F0327D" w:rsidRDefault="00D2240E" w:rsidP="00C40EFF">
      <w:pPr>
        <w:shd w:val="clear" w:color="auto" w:fill="FFFFFF"/>
        <w:spacing w:after="0" w:line="240" w:lineRule="auto"/>
        <w:ind w:right="284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Условия (формы) оказания муниципальной услуги</w:t>
      </w:r>
    </w:p>
    <w:tbl>
      <w:tblPr>
        <w:tblW w:w="0" w:type="auto"/>
        <w:tblInd w:w="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960"/>
      </w:tblGrid>
      <w:tr w:rsidR="00491018" w:rsidRPr="00F0327D" w:rsidTr="002810E2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91018" w:rsidRPr="00F0327D" w:rsidTr="002810E2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подготовки, тренировочный этап (этап спортивной специализации), этап совершенствования спортивного мастерства</w:t>
            </w:r>
            <w:r w:rsidR="0029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этап высшего спортивного мастерства</w:t>
            </w:r>
          </w:p>
        </w:tc>
      </w:tr>
    </w:tbl>
    <w:p w:rsidR="00974196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Потребители муниципальной услуги и их характеристика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изические лица 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(граждане Российской Федерации).</w:t>
      </w:r>
    </w:p>
    <w:p w:rsidR="00D2240E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Орган, осуществляющий функции и полномочия учредителя, или главный распорядитель 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бюджетных средств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Комитет 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физической культуры и спорта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Одинцовского 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Московской области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Комитет).</w:t>
      </w:r>
    </w:p>
    <w:p w:rsidR="00BD66D6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Наименования муниципальных учреждений (групп учреждений), оказывающих муниципальную услугу: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учреждени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физической культуры и 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спорта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подведомственные Комитету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</w:t>
      </w:r>
      <w:r w:rsidR="00BD66D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BD66D6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Сведения о муниципальн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потребителей муниципальн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ые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оказыва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 для потребителей бесплатно</w:t>
      </w:r>
      <w:r w:rsidR="00BD66D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рамках муниципального задания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D66D6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Правовые акты, регламентирующие оказание муниципальной услуги</w:t>
      </w:r>
      <w:r w:rsidR="0097419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BD66D6" w:rsidRPr="00F0327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Конвенция о правах ребенка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D66D6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BD66D6" w:rsidRPr="00F0327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Конституция Российской Федерации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Pr="00F0327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 Российской Федерации от 07.02.1992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2300</w:t>
      </w:r>
      <w:r w:rsidR="00C40E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-1 «О защите прав потребителей»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12.01.1996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7-ФЗ «О некоммерческих организациях»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24.07.1998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124-ФЗ «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основных гарантиях прав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ребенка в Российской Федерации»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24.06.1999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120-ФЗ «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основах системы профилактики безнадзорности и пра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вонарушений несовершеннолетних»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7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131-ФЗ «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общих принципах организации местного самоупр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авления в Российской Федерации»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02.05.2006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59-ФЗ «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порядке рассмотрения обращений граждан Российской 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Pr="00F0327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3502ED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 от 03.11.2006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3502ED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174-ФЗ «Об автономных учреждениях»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Default="0069441D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04.12.2007 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329-ФЗ «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физической культуре 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спорте в Российской Федерации»</w:t>
      </w:r>
      <w:r w:rsid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Pr="00F0327D" w:rsidRDefault="000F1AE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 Правительства Российской Федерации от 25.04.2012 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390 «</w:t>
      </w:r>
      <w:r w:rsidR="003502ED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противопожарном режи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ме»</w:t>
      </w:r>
      <w:r w:rsid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Pr="00BD2694" w:rsidRDefault="0069441D" w:rsidP="00BD269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810E2"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BD2694"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здравоо</w:t>
      </w:r>
      <w:r w:rsidR="00F831F8">
        <w:rPr>
          <w:rFonts w:ascii="Times New Roman" w:hAnsi="Times New Roman" w:cs="Times New Roman"/>
          <w:sz w:val="24"/>
          <w:szCs w:val="24"/>
          <w:shd w:val="clear" w:color="auto" w:fill="FFFFFF"/>
        </w:rPr>
        <w:t>хранения РФ от 1 марта 2016 г. №</w:t>
      </w:r>
      <w:r w:rsidR="00BD2694"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 134н</w:t>
      </w:r>
      <w:r w:rsidR="00BD2694">
        <w:rPr>
          <w:rFonts w:ascii="Times New Roman" w:hAnsi="Times New Roman" w:cs="Times New Roman"/>
          <w:sz w:val="24"/>
          <w:szCs w:val="24"/>
        </w:rPr>
        <w:t xml:space="preserve"> </w:t>
      </w:r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D2694"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</w:t>
      </w:r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ультурно-спортивного комплекса</w:t>
      </w:r>
      <w:proofErr w:type="gramEnd"/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D2694"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 к труду и обороне</w:t>
      </w:r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502ED"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3502ED" w:rsidRPr="003502ED" w:rsidRDefault="0069441D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16.08.2013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 «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приема лиц в физкультурно-спортивные организации, созданные Российской Федерацией и осуще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ствляющие спортивную подготовку»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Pr="003502ED" w:rsidRDefault="002810E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27.12.2013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1125 «</w:t>
      </w:r>
      <w:r w:rsidR="00D2240E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порта»</w:t>
      </w:r>
      <w:r w:rsidR="00941A39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41A39" w:rsidRPr="003502ED" w:rsidRDefault="0069441D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81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941A39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 Министерства спорта Российской Федерации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30.10.2015</w:t>
      </w:r>
      <w:r w:rsidR="00941A39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99 «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требований к обеспечению подготовки спортивного резерва для спортивных сборных команд Российской Федерации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502ED"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1CEC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6) 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21.08.2017 </w:t>
      </w:r>
      <w:r w:rsidR="00707D92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D92" w:rsidRPr="00707D92">
        <w:rPr>
          <w:rFonts w:ascii="Times New Roman" w:hAnsi="Times New Roman" w:cs="Times New Roman"/>
          <w:sz w:val="24"/>
          <w:szCs w:val="24"/>
          <w:shd w:val="clear" w:color="auto" w:fill="FFFFFF"/>
        </w:rPr>
        <w:t>767</w:t>
      </w:r>
      <w:r w:rsidR="00707D92" w:rsidRP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едерального стандарта спортивной подгото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вки по </w:t>
      </w:r>
      <w:r w:rsidR="007221C7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виду с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 «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дзюдо»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1CEC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7) 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675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едерального стандарта спортивной подготовки по виду с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порта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художественная гимнастика»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1CEC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8) 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07D92" w:rsidRP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19.01.2018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7D92" w:rsidRP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40</w:t>
      </w:r>
      <w:r w:rsidR="00707D92" w:rsidRPr="008704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едерального стандарта спортивной подго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товки по виду спорта «фехтование»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1CEC" w:rsidRPr="008F3C7E" w:rsidRDefault="003A35D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19) 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19.01.2018 </w:t>
      </w:r>
      <w:r w:rsidR="00707D92" w:rsidRPr="00707D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36</w:t>
      </w:r>
      <w:r w:rsidR="00707D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едерального стандарта спортивной подг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отовки по виду спорта «тхэквондо»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1CEC" w:rsidRPr="008F3C7E" w:rsidRDefault="003A35D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20) 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7469A0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469A0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469A0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469A0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672</w:t>
      </w:r>
      <w:r w:rsidR="007469A0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едерального стандарта спортивной подготовки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виду спорта «тяжелая атлетика»</w:t>
      </w:r>
      <w:r w:rsidR="00DE1C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20.03.2019</w:t>
      </w:r>
      <w:r w:rsidR="007469A0" w:rsidRP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250</w:t>
      </w:r>
      <w:r w:rsidR="00746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«Об утверждении Ф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едерального стандарта спортивной подготов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ки по виду спорта </w:t>
      </w:r>
      <w:r w:rsidR="007221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«лыжные гонки»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F3C7E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10.04.2013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114 «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отовки по виду спорта «баскетбол»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469A0" w:rsidRP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16.04.2018 № 348</w:t>
      </w:r>
      <w:r w:rsidR="00746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«бокс»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27.03.2013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145 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ортивная борьба»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D66D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469A0" w:rsidRP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19.01.2018 № 35</w:t>
      </w:r>
      <w:r w:rsidR="00746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подготовки п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«пулевая стрельба»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91018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25.10.2019</w:t>
      </w:r>
      <w:r w:rsidR="007469A0" w:rsidRP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880</w:t>
      </w:r>
      <w:r w:rsidR="007469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«футбол»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F3C7E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7) 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27.03.2013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148 «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«стрельба из лука»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91018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37</w:t>
      </w:r>
      <w:r w:rsidR="007469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«хоккей»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91018" w:rsidRPr="008F3C7E" w:rsidRDefault="003A35D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29)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20.08.2019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673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«легкая атлетика»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F3C7E" w:rsidRPr="008F3C7E" w:rsidRDefault="003A35D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30) 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19.01.2018 </w:t>
      </w:r>
      <w:r w:rsidR="004F5BBE" w:rsidRP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31</w:t>
      </w:r>
      <w:r w:rsidR="004F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«настольный теннис»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91018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19.01.2018 </w:t>
      </w:r>
      <w:r w:rsidR="004F5BBE" w:rsidRP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37</w:t>
      </w:r>
      <w:r w:rsidR="004F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подго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«бадминтон»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F3C7E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18.06.2013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401 «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«велоспорт-</w:t>
      </w:r>
      <w:proofErr w:type="spellStart"/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маунтинбайк</w:t>
      </w:r>
      <w:proofErr w:type="spellEnd"/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8F3C7E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18.06.2013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402 «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«конный спорт»</w:t>
      </w:r>
      <w:r w:rsidR="008F3C7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7419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30.08.2013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680 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«волейбол»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74196" w:rsidRPr="008F3C7E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4F5BBE" w:rsidRP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19.01.2018 № 38</w:t>
      </w:r>
      <w:r w:rsidR="004F5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фигурно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катание на коньках»</w:t>
      </w:r>
      <w:r w:rsidR="003502ED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765EC" w:rsidRDefault="006F742C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6) </w:t>
      </w:r>
      <w:r w:rsidR="00E765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22.12.2015 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1227 «</w:t>
      </w:r>
      <w:r w:rsidR="00E765EC"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«софтбол»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04C32" w:rsidRDefault="00404C3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7) 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 Министерства спорта Российской Федерации от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935 «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подготовки по виду спорта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спортивная гимнастика»;</w:t>
      </w:r>
    </w:p>
    <w:p w:rsidR="00404C32" w:rsidRDefault="00404C3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8) 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 «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подготовки по виду спорта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горнолыжный спорт»;</w:t>
      </w:r>
    </w:p>
    <w:p w:rsidR="00450FA4" w:rsidRDefault="00450FA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39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404C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813 «</w:t>
      </w:r>
      <w:r w:rsidRPr="008F3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подготовки по виду спорта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каратэ»;</w:t>
      </w:r>
    </w:p>
    <w:p w:rsidR="00E14CC0" w:rsidRDefault="00404C3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40</w:t>
      </w:r>
      <w:r w:rsidR="003A35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E14CC0" w:rsidRP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Типовые требования </w:t>
      </w:r>
      <w:r w:rsidR="00E14CC0" w:rsidRP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тренировочным площадкам, включая их оснащение спортивно-технологическим оборудованием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утвержденные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Приказом Министерства спорта Российской Федерации от 11.04.2014 № 230.</w:t>
      </w:r>
    </w:p>
    <w:p w:rsidR="00450FA4" w:rsidRPr="00F0327D" w:rsidRDefault="00450FA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240E" w:rsidRPr="0015506F" w:rsidRDefault="00D2240E" w:rsidP="0015506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550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 к оказанию муниципальной услуги</w:t>
      </w:r>
    </w:p>
    <w:p w:rsidR="0015506F" w:rsidRPr="0015506F" w:rsidRDefault="0015506F" w:rsidP="0015506F">
      <w:pPr>
        <w:shd w:val="clear" w:color="auto" w:fill="FFFFFF"/>
        <w:spacing w:after="0" w:line="240" w:lineRule="auto"/>
        <w:ind w:left="360" w:right="-2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получения муниципальной услуги</w:t>
      </w:r>
      <w:r w:rsidR="00E765EC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Порядок принятия заяв</w:t>
      </w:r>
      <w:r w:rsidR="008076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потребителя муниципальной услуги (заявителя)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F6A74" w:rsidRPr="00AF6A74" w:rsidRDefault="00AF6A74" w:rsidP="0015506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учреждения спорта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по письменному заявлению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поступающих, а в случае если они несовершеннолетние, то по письменному заявлению их законных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ей (далее </w:t>
      </w:r>
      <w:r w:rsidR="001550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заявление о приеме) путем личной передачи заявления о приеме в приемную комиссию учреждения,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которой утверждается приказом руководителя учреждения.</w:t>
      </w:r>
    </w:p>
    <w:p w:rsidR="00491018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Сроки приема заявлений, а также сроки дополнительного набора </w:t>
      </w:r>
      <w:r w:rsidR="004A24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занимающихся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устанавливаются локальным нормативным актом учреждения.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Заявления о приеме могут подаваться одновременно в несколько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 спорта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заявлении о приеме указываются следующие сведения: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наименование программы спортивной подготовки, на которую планируется поступление;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фамилия, имя и отчество (при наличии) 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F5BBE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дата и место рождения поступающего;</w:t>
      </w:r>
      <w:r w:rsidR="004F5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фамилия, имя и отчество (при наличии) законных представителей несовершеннолетнего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поступающего;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номера телефонов поступающего или законных представителей несовершеннолетнего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 (при наличии);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сведения о гражданстве поступающего (при наличии);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адрес места жительства поступающего.</w:t>
      </w:r>
    </w:p>
    <w:p w:rsidR="00B34FFD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заявлении фиксируются факт ознакомления поступающего или законных представителей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несовершеннолетнего поступающего с уставом физкультурно-спортивной организац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и ее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локальными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актами, а также согласие на участие в процедуре индив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идуального отбора поступающего.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подаче заявления представляются следующие документы: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паспорта (при наличии) или свидетельства о рождении поступающего;</w:t>
      </w:r>
    </w:p>
    <w:p w:rsidR="00AF6A74" w:rsidRP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справка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медицинской организации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отсутствии у поступающего медицинских противопоказаний для освоения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соответствующей программы спортивной подготовки;</w:t>
      </w:r>
      <w:proofErr w:type="gramEnd"/>
    </w:p>
    <w:p w:rsidR="00AF6A74" w:rsidRDefault="00AF6A74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фотографии 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 количестве и формате, установленном физкультурно-спортивной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организацией)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.2. Рассмотрение 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приеме</w:t>
      </w:r>
      <w:r w:rsidR="00E765EC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491018" w:rsidRPr="00F0327D" w:rsidRDefault="007532D3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рассматривается приемной комиссией учреждения в соответствии с Порядком приема лиц в физкультурно-спортивные организации, созданные Российской Федерацией и осуществляющие спортивную подготовку, утвержденным приказом Министерства спорта Российской Федерации от 16.08.2013 </w:t>
      </w:r>
      <w:r w:rsidR="002E2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645.</w:t>
      </w: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.3. Порядок принятия решения об удовлетворении 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приеме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D2240E" w:rsidRPr="00F0327D" w:rsidRDefault="00D2240E" w:rsidP="00B34F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в учреждение осуществляется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наличии свободных мест и</w:t>
      </w:r>
      <w:r w:rsidR="007532D3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основании результатов индивидуального отбора потребителей муниципальной услуги,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 (далее 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индивидуальный отбор) в соответствии с Порядком приема лиц в физкультурно-спортивные организации, созданные Российской Федерацией и осуществляющие спортивную подготовку, утвержденным приказом Министерства спорта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 от 16.08.2013 </w:t>
      </w:r>
      <w:r w:rsidR="002E2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645.</w:t>
      </w: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Зачисление потребителя муниципальной услуги в учреждение оформляется приказом руководителя учреждения.</w:t>
      </w:r>
    </w:p>
    <w:p w:rsidR="00491018" w:rsidRPr="00F0327D" w:rsidRDefault="00D2240E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Основания для отказа в оказании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491018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есоответствие потребителя муниципальной услуги возрастному ограничению на прием в учреждение;</w:t>
      </w:r>
    </w:p>
    <w:p w:rsidR="00491018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не соответствующих требованиям, указанным в пункте 2.1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Стандарта;</w:t>
      </w:r>
    </w:p>
    <w:p w:rsidR="004F53D2" w:rsidRPr="00F0327D" w:rsidRDefault="004F53D2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отрицательный результат индивидуального отбора;</w:t>
      </w:r>
    </w:p>
    <w:p w:rsidR="00491018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медицинских противопоказаний для занятий выбранным видом спорта;</w:t>
      </w:r>
    </w:p>
    <w:p w:rsidR="00491018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свободных мест в учреждении.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Очередность оказания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услуга оказывается в соответствии с </w:t>
      </w:r>
      <w:proofErr w:type="spell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пофамильным</w:t>
      </w:r>
      <w:proofErr w:type="spell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списком-рейтингом потребителей муниципальной услуги, сформированным по результатам индивидуального отбора.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Информирование потребителя муниципальной услуги (заявителя) о принятом решении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81CC8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Объявление результатов осуществляется путем размещения </w:t>
      </w:r>
      <w:proofErr w:type="spell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пофамильного</w:t>
      </w:r>
      <w:proofErr w:type="spell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сроки, установленные локальным нормативным актом учреждения.</w:t>
      </w:r>
    </w:p>
    <w:p w:rsidR="00222FBB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Особенности принятия решений об оказании муниципальной услуги отдельным категориям граждан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собенности принятия решений об оказании муниципальной услуги отдельным категориям граждан отсутствуют.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Срок оказания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D2240E" w:rsidRPr="00F0327D" w:rsidRDefault="00D2240E" w:rsidP="00B34F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Срок непосредственного оказания муниципальной услуги 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момента зачисления потребителя муниципальной услуги в учреждение на период нормативных сроков освоения </w:t>
      </w:r>
      <w:r w:rsidR="004A24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занимающимся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  <w:proofErr w:type="gramEnd"/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Требования к муниципальным учреждениям, оказывающим муниципальную услугу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Документы, в соответствии с которыми функционирует муниципальное учреждение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 учреждения;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Свидетельство </w:t>
      </w:r>
      <w:proofErr w:type="gramStart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постановке на учет юридического лица в налоговом органе по месту нахождения на 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</w:t>
      </w:r>
      <w:proofErr w:type="gramEnd"/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о внесении записи в Единый государственн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 реестр юридических лиц;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о государ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ственной регистрации учреждения;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Локальные нормативные акты учреждения, разработанные в соответствии с действующим законодательством.</w:t>
      </w:r>
    </w:p>
    <w:p w:rsidR="00222FBB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Режим работы учреждения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ежим работы учреждения определяется локальным нормативным актом учреждения.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 Условия размещения муниципального учреждения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Федерации от 25.04.2012 </w:t>
      </w:r>
      <w:r w:rsidR="002E2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390, типовым требованиям </w:t>
      </w:r>
      <w:r w:rsidR="004F53D2" w:rsidRP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тренировочным площадкам, включая их оснащение спортивно-технологическим оборудованием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утвержденным Приказом Министерства спорта Российской Федерации от 11.04.2014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230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ФССП по видам спорта утвержденным приказами Министерства спорта Российской Федерации.</w:t>
      </w:r>
    </w:p>
    <w:p w:rsidR="00222FBB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Материально-техническое обеспечение оказания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пециальное оборудование, приборы и аппаратура 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должны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оваться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строго по назначению в соответствии с эксплуатационными документами, содержат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 в технически исправном состоянии 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систематически проверя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ся.</w:t>
      </w:r>
    </w:p>
    <w:p w:rsidR="00222FBB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.5. Кадровое обеспечение оказания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D2240E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Учреждение должно располагать необходимым числом специалистов в соответствии со штатным расписанием.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Подбор персонала в учреждени</w:t>
      </w:r>
      <w:r w:rsidR="007532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должен осуществляться в соответствии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действующим законодательством в Российской Федерации.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 Должностные лица в муниципальном учреждении, ответственные за оказание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оказываемой муниципальной услуги.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 учреждения обязан: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разъяснение и доведение настоящего Стандарта до всех участников процесса</w:t>
      </w:r>
      <w:r w:rsidR="00E652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спортивной подготовки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организовать внутренний </w:t>
      </w:r>
      <w:proofErr w:type="gramStart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настоящего Стандарта;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Основания для досрочного прекращения либо приостановления оказания муниципальной услуги</w:t>
      </w:r>
      <w:r w:rsidR="00C81CC8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22FBB" w:rsidRPr="00F0327D" w:rsidRDefault="00ED2E3F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2.7.1.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Досрочное прекращение оказания муниципальной услуги производится по следующим основаниям: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несоответствие спортивных результатов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подве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домственными Комитету;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реорганизация или ликвидация учреждения, осуществляющего оказание муниципальной услуги;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личному желанию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(по заявлению родителей (законных представителей)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несовершеннолетнего 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222FBB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ухудшения состояния здоровья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 наличии медицинского заключения;</w:t>
      </w:r>
    </w:p>
    <w:p w:rsidR="00D2240E" w:rsidRPr="00F0327D" w:rsidRDefault="00C81CC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решению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тренерского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учреждения за совершение противоправных действий, грубые и неоднократные нарушения Устава учреждения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соответствии с локальными нормативными актами учреждения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Решение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тренерского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</w:t>
      </w:r>
      <w:proofErr w:type="gramStart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proofErr w:type="gramEnd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</w:t>
      </w:r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отчислении занимающегося из учреждения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принимается в присутствии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его родителей (законных представителей). Отсутствие на заседании совета учреждения без уважительной </w:t>
      </w:r>
      <w:proofErr w:type="gramStart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причины</w:t>
      </w:r>
      <w:proofErr w:type="gramEnd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его родителей (законных представителей) не лишает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тренерский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 учреждения возможности рассмотреть вопрос об исключении;</w:t>
      </w:r>
    </w:p>
    <w:p w:rsidR="00222FBB" w:rsidRPr="00F0327D" w:rsidRDefault="00B50815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невыполнении родителями (законными представителями) </w:t>
      </w:r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условий договора на оказание муниципальной услуги.</w:t>
      </w:r>
    </w:p>
    <w:p w:rsidR="00222FBB" w:rsidRPr="00F0327D" w:rsidRDefault="00ED2E3F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2.7.2.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222FBB" w:rsidRDefault="00B50815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период болезни </w:t>
      </w:r>
      <w:proofErr w:type="gramStart"/>
      <w:r w:rsidR="00A81F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proofErr w:type="gramEnd"/>
      <w:r w:rsidR="00ED2E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2E3F" w:rsidRDefault="000D2F28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решению надзорного органа или суда;</w:t>
      </w:r>
    </w:p>
    <w:p w:rsidR="000D2F28" w:rsidRPr="00F0327D" w:rsidRDefault="000D2F28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B34F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решению учредителя.</w:t>
      </w:r>
    </w:p>
    <w:p w:rsidR="00222FBB" w:rsidRPr="00F0327D" w:rsidRDefault="00D2240E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Процедуры приостановления оказания муниципальной услуги нет.</w:t>
      </w:r>
    </w:p>
    <w:p w:rsidR="00B34FFD" w:rsidRDefault="00D2240E" w:rsidP="00F831F8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 оказания муниципальной услуги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своение </w:t>
      </w:r>
      <w:r w:rsidR="004A24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занимающимся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  <w:proofErr w:type="gramEnd"/>
    </w:p>
    <w:p w:rsidR="00753BC6" w:rsidRDefault="00D2240E" w:rsidP="00753BC6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Показатели, характеризующие качество муниципальной услуги</w:t>
      </w:r>
      <w:r w:rsidR="002E2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3261"/>
        <w:gridCol w:w="2268"/>
      </w:tblGrid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A7828" w:rsidRDefault="002E2782" w:rsidP="00C40EFF">
            <w:pPr>
              <w:spacing w:after="0" w:line="240" w:lineRule="auto"/>
              <w:ind w:left="68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A7828" w:rsidRDefault="002E2782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A7828" w:rsidRDefault="002E2782" w:rsidP="00C40EFF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Формула</w:t>
            </w: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A7828" w:rsidRDefault="002E2782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информации о значении показателя (исходных данных для его расчета)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зачисленных на тренировочный этап (этап спортивной специализации)/Количество занимающихся, прошедших спортивную подготовку на этапе начальной подготовки по факту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зачисленных на этап совершенствования спортивного мастерства/ Количество занимающихся, зачисленных на тренировочный этап (этап спортивной специализации) 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зачисленных на этап высшего спортивного мастерства /Количество занимающихся, зачисленных на этап совершенствования спортивного мастерства x 100%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лиц, прошедших спортивную подготовку на этапе начальной подготовки и переведенных внутри этапа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переведенных внутри этапа спортивной подготовки / Количество занимающихся, прошедших спортивную 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подготовку на этапе начальной подготовки по 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факту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Доля лиц, прошедших спортивную подготовку на тренировочном этапе (этап спортивной специализации) и переведенных внутри этапа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переведенных внутри этапа спортивной подготовки / Количество занимающихся, зачисленных на тренировочный этап (этап спортивной специализации)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Доля лиц, прошедших спортивную подготовку на этапе совершенствования спортивного мастерства и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совершенствования спортивного мастерства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занимающихся,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совершенствования спортивного мастерства / Количество занимающихся, на этапе совершенствования спортивного мастерства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2E2782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E2782" w:rsidRPr="002E2782" w:rsidRDefault="002E2782" w:rsidP="00B34F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7. 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E2782" w:rsidRPr="002E2782" w:rsidRDefault="002E2782" w:rsidP="00753B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E2782" w:rsidRPr="002E2782" w:rsidRDefault="002E2782" w:rsidP="00B34F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занимающихся,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</w:t>
            </w: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этапе высшего спортивного мастерства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Количество занимающихся, на </w:t>
            </w: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этапе высшего спортивного мастерства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2E2782" w:rsidRPr="002E2782" w:rsidRDefault="002E2782" w:rsidP="00B34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</w:tbl>
    <w:p w:rsidR="002E2782" w:rsidRPr="002E2782" w:rsidRDefault="002E2782" w:rsidP="00F831F8">
      <w:pPr>
        <w:shd w:val="clear" w:color="auto" w:fill="FFFFFF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35F3D" w:rsidRPr="00F0327D" w:rsidRDefault="00D2240E" w:rsidP="00B34FFD">
      <w:pPr>
        <w:shd w:val="clear" w:color="auto" w:fill="FFFFFF"/>
        <w:spacing w:after="0" w:line="240" w:lineRule="auto"/>
        <w:ind w:right="-426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информирования потенциальных потребителей муниципальной услуги</w:t>
      </w:r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353"/>
        <w:gridCol w:w="3801"/>
        <w:gridCol w:w="359"/>
        <w:gridCol w:w="2124"/>
        <w:gridCol w:w="428"/>
      </w:tblGrid>
      <w:tr w:rsidR="00491018" w:rsidRPr="00F0327D" w:rsidTr="00035F3D">
        <w:trPr>
          <w:gridBefore w:val="1"/>
          <w:gridAfter w:val="1"/>
          <w:wBefore w:w="284" w:type="dxa"/>
          <w:wAfter w:w="428" w:type="dxa"/>
          <w:trHeight w:val="15"/>
        </w:trPr>
        <w:tc>
          <w:tcPr>
            <w:tcW w:w="3353" w:type="dxa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gridSpan w:val="2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018" w:rsidRPr="00F0327D" w:rsidTr="00F831F8"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B34FF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B34FF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B34FFD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491018" w:rsidRPr="00F0327D" w:rsidTr="00F831F8"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Размещение информации на официальном информационном </w:t>
            </w:r>
            <w:r w:rsidR="00523D0D"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3D0D"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Одинцовского 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законом от 07.02.1992 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A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2300-1 «О защите прав потребителей»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раза в год</w:t>
            </w:r>
          </w:p>
        </w:tc>
      </w:tr>
      <w:tr w:rsidR="00491018" w:rsidRPr="00F0327D" w:rsidTr="00F831F8"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Размещение информации на информационных стендах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491018" w:rsidRPr="00F0327D" w:rsidTr="00F831F8">
        <w:tc>
          <w:tcPr>
            <w:tcW w:w="36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требованием Федерального закона от 12.01.1996 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№</w:t>
            </w:r>
            <w:r w:rsidR="002A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7-ФЗ «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неком</w:t>
            </w:r>
            <w:r w:rsidR="002A7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мерческих организациях»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пяти</w:t>
            </w:r>
            <w:r w:rsid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дней, следующих за днем принятия документов или внесения изменений в документы</w:t>
            </w:r>
          </w:p>
        </w:tc>
      </w:tr>
      <w:tr w:rsidR="00491018" w:rsidRPr="00F0327D" w:rsidTr="00035F3D"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035F3D" w:rsidP="002A7828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Размещение информации </w:t>
            </w:r>
            <w:r w:rsidR="00D2240E"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41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91018" w:rsidRPr="00F0327D" w:rsidTr="00035F3D"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Размещение информации на официальном сайте учреждения</w:t>
            </w:r>
          </w:p>
        </w:tc>
        <w:tc>
          <w:tcPr>
            <w:tcW w:w="41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местонахождение учреждения,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035F3D" w:rsidRDefault="00D2240E" w:rsidP="002A7828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 обжалования действия (бездействия) должностного лица, а также принимаемого им решения при оказании муниципальной услуги, определяется в соответствии с Федеральным законом от 02.05.2006 </w:t>
      </w:r>
      <w:r w:rsidR="00035F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59-ФЗ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рассмотрения обращен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 граждан Российской Федерации»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Порядок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оказанием муниципальной услуги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Внутренний контроль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учреждении должна функционировать система внутреннего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качеством оказания муниципальной услуги.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Внутренний контроль осуществляется руководителем учреждения и его заместителями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локального нормативного акта, который определяет порядок, формы и виды контроля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Внутренний контроль подразделяется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94CCA" w:rsidRPr="00F0327D" w:rsidRDefault="002A782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оперативный контроль (по выявленным проблемным фактам и жалобам, касающимся качества оказания муниципальной услуги);</w:t>
      </w:r>
    </w:p>
    <w:p w:rsidR="00094CCA" w:rsidRPr="00F0327D" w:rsidRDefault="002A7828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плановый контроль:</w:t>
      </w:r>
    </w:p>
    <w:p w:rsidR="00094CCA" w:rsidRPr="00F0327D" w:rsidRDefault="00B50815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тематический (контроль по определенной теме или направлению деятельности учреждения);</w:t>
      </w:r>
    </w:p>
    <w:p w:rsidR="00094CCA" w:rsidRPr="00F0327D" w:rsidRDefault="00B50815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комплексный (в том </w:t>
      </w:r>
      <w:proofErr w:type="gramStart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числе</w:t>
      </w:r>
      <w:proofErr w:type="gramEnd"/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проверка осуществления деятельности отдельных работников).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Выявленные недостатки по оказанию муниципальной услуги анализируются по каждому работнику учреждения с рассмотрением на 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тренерском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0D2F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Внешний контроль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94CCA" w:rsidRPr="00F0327D" w:rsidRDefault="00D2240E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обеспечения качества и доступности оказания муниципальной у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слуги, описываемой в настоящем С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тандарте, достигается посредством реализации контрольных мероприятий.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деятельностью учреждения осуществляется посредством процедур внешнего контроля.</w:t>
      </w:r>
    </w:p>
    <w:p w:rsidR="00035F3D" w:rsidRPr="00F0327D" w:rsidRDefault="00D2240E" w:rsidP="007C50E7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Внешний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деятельностью учреждения по оказанию муниципальной услуги осуществляет </w:t>
      </w:r>
      <w:r w:rsidR="00B50815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Комитет.</w:t>
      </w: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280"/>
        <w:gridCol w:w="3685"/>
      </w:tblGrid>
      <w:tr w:rsidR="00491018" w:rsidRPr="00F0327D" w:rsidTr="00035F3D">
        <w:trPr>
          <w:trHeight w:val="15"/>
        </w:trPr>
        <w:tc>
          <w:tcPr>
            <w:tcW w:w="2958" w:type="dxa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D2240E" w:rsidRPr="00F0327D" w:rsidRDefault="00D2240E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018" w:rsidRPr="00F0327D" w:rsidTr="00035F3D"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2A7828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2A7828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EB4FA9" w:rsidRPr="002A7828" w:rsidRDefault="00EB4FA9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(основание)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2A7828" w:rsidRDefault="00D2240E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Органы, осуществляющие </w:t>
            </w:r>
            <w:proofErr w:type="gramStart"/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A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оказанием муниципальной услуги</w:t>
            </w:r>
          </w:p>
        </w:tc>
      </w:tr>
      <w:tr w:rsidR="00491018" w:rsidRPr="00F0327D" w:rsidTr="00035F3D">
        <w:tc>
          <w:tcPr>
            <w:tcW w:w="2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D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3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Default="000D2F28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B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="00AB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раз</w:t>
            </w:r>
            <w:r w:rsidR="00AB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B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B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EB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B4FA9" w:rsidRPr="00F0327D" w:rsidRDefault="00EB4FA9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(ежегодный план проверок)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F0327D" w:rsidRDefault="00B50815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Комитет</w:t>
            </w:r>
          </w:p>
        </w:tc>
      </w:tr>
      <w:tr w:rsidR="00491018" w:rsidRPr="00F0327D" w:rsidTr="00035F3D">
        <w:tc>
          <w:tcPr>
            <w:tcW w:w="2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F0327D" w:rsidRDefault="00D2240E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0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</w:t>
            </w: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Default="00EB4FA9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B4FA9" w:rsidRPr="00F0327D" w:rsidRDefault="00EB4FA9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(поступление жалоб, предписаний надзорных организаций и т.д.)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40E" w:rsidRPr="00F0327D" w:rsidRDefault="00B50815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Комитет </w:t>
            </w:r>
          </w:p>
        </w:tc>
      </w:tr>
    </w:tbl>
    <w:p w:rsidR="002A7828" w:rsidRDefault="002A7828" w:rsidP="00C40EFF">
      <w:pPr>
        <w:shd w:val="clear" w:color="auto" w:fill="FFFFFF"/>
        <w:spacing w:after="0" w:line="240" w:lineRule="auto"/>
        <w:ind w:left="-851" w:right="-426"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7828" w:rsidRDefault="002A7828" w:rsidP="00C40EFF">
      <w:pPr>
        <w:shd w:val="clear" w:color="auto" w:fill="FFFFFF"/>
        <w:spacing w:after="0" w:line="240" w:lineRule="auto"/>
        <w:ind w:left="-851" w:right="-426"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94CCA" w:rsidRPr="00F0327D" w:rsidRDefault="00735939" w:rsidP="00C40EFF">
      <w:pPr>
        <w:shd w:val="clear" w:color="auto" w:fill="FFFFFF"/>
        <w:spacing w:after="0" w:line="240" w:lineRule="auto"/>
        <w:ind w:left="-851" w:right="-426"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Председатель Комитета                                                     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="00035F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А.Ю. Олянич</w:t>
      </w:r>
    </w:p>
    <w:p w:rsidR="00E018F3" w:rsidRPr="00753BC6" w:rsidRDefault="00094CCA" w:rsidP="00753BC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E018F3" w:rsidRPr="00735939" w:rsidRDefault="00753BC6" w:rsidP="00C4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Стандарт </w:t>
      </w:r>
      <w:r w:rsidR="00E018F3" w:rsidRPr="00735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018F3" w:rsidRPr="00F0327D" w:rsidRDefault="00E018F3" w:rsidP="00C40E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 спортивной подготовке по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не</w:t>
      </w:r>
      <w:r w:rsidRPr="00F0327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олимпийским видам спорта</w:t>
      </w:r>
    </w:p>
    <w:p w:rsidR="002A7828" w:rsidRDefault="002A7828" w:rsidP="00C40EFF">
      <w:pPr>
        <w:shd w:val="clear" w:color="auto" w:fill="FFFFFF"/>
        <w:spacing w:after="0" w:line="240" w:lineRule="auto"/>
        <w:ind w:left="-851" w:right="-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2240E" w:rsidRPr="002A7828" w:rsidRDefault="00D2240E" w:rsidP="002A782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-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A782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2A7828" w:rsidRPr="002A7828" w:rsidRDefault="002A7828" w:rsidP="002A7828">
      <w:pPr>
        <w:shd w:val="clear" w:color="auto" w:fill="FFFFFF"/>
        <w:spacing w:after="0" w:line="240" w:lineRule="auto"/>
        <w:ind w:left="-851" w:right="-42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94CCA" w:rsidRPr="00F0327D" w:rsidRDefault="00D2240E" w:rsidP="00F831F8">
      <w:pPr>
        <w:shd w:val="clear" w:color="auto" w:fill="FFFFFF"/>
        <w:spacing w:after="0" w:line="240" w:lineRule="auto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Наименование муниципальной услуги</w:t>
      </w:r>
      <w:r w:rsidR="006B5B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5B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Спортивная подготовка по неолимпийским видам спорта</w:t>
      </w:r>
      <w:r w:rsidR="006B5B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="002A78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муниципальная услуга).</w:t>
      </w:r>
    </w:p>
    <w:p w:rsidR="00D2240E" w:rsidRPr="00F0327D" w:rsidRDefault="00D2240E" w:rsidP="00C40EFF">
      <w:pPr>
        <w:shd w:val="clear" w:color="auto" w:fill="FFFFFF"/>
        <w:spacing w:after="0" w:line="240" w:lineRule="auto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Содержание муниципальной услуги</w:t>
      </w:r>
    </w:p>
    <w:tbl>
      <w:tblPr>
        <w:tblW w:w="0" w:type="auto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5"/>
      </w:tblGrid>
      <w:tr w:rsidR="00F0327D" w:rsidRPr="00F0327D" w:rsidTr="004D18BF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180401" w:rsidRDefault="00D2240E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180401" w:rsidRDefault="00D2240E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F0327D" w:rsidRPr="00F0327D" w:rsidTr="004D18BF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180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180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  <w:r w:rsidR="004D18BF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акробатика, шашки, шахматы, </w:t>
            </w:r>
            <w:proofErr w:type="spellStart"/>
            <w:r w:rsidR="004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всестилевое</w:t>
            </w:r>
            <w:proofErr w:type="spellEnd"/>
            <w:r w:rsidR="00450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8BF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каратэ, </w:t>
            </w:r>
            <w:r w:rsidR="00A2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  <w:r w:rsidR="004D18BF"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акробатический рок-н-ролл</w:t>
            </w:r>
            <w:r w:rsidR="002A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A7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</w:tr>
    </w:tbl>
    <w:p w:rsidR="00D2240E" w:rsidRPr="00F0327D" w:rsidRDefault="00D2240E" w:rsidP="00C40EFF">
      <w:pPr>
        <w:shd w:val="clear" w:color="auto" w:fill="FFFFFF"/>
        <w:spacing w:after="0" w:line="240" w:lineRule="auto"/>
        <w:ind w:right="-426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Условия (формы) оказания муниципальной услуги</w:t>
      </w:r>
    </w:p>
    <w:tbl>
      <w:tblPr>
        <w:tblW w:w="0" w:type="auto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11"/>
      </w:tblGrid>
      <w:tr w:rsidR="00F0327D" w:rsidRPr="00F0327D" w:rsidTr="004D18BF"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180401" w:rsidRDefault="00D2240E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180401" w:rsidRDefault="00D2240E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F0327D" w:rsidRPr="00F0327D" w:rsidTr="004D18BF"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1804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2240E" w:rsidRPr="00F0327D" w:rsidRDefault="00D2240E" w:rsidP="001804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подготовки, тренировочный этап (этап спортивной специализации), этап совершенствования спортивного мастерства</w:t>
            </w:r>
            <w:r w:rsidR="005E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этап высшего спортивного мастерства</w:t>
            </w:r>
          </w:p>
        </w:tc>
      </w:tr>
    </w:tbl>
    <w:p w:rsidR="00A22D9B" w:rsidRPr="00F0327D" w:rsidRDefault="00A22D9B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Потребители муниципальной услуги и их характеристика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изические лица (граждане Российской Федерации).</w:t>
      </w:r>
    </w:p>
    <w:p w:rsidR="00A22D9B" w:rsidRPr="00F0327D" w:rsidRDefault="00A22D9B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Орган, осуществляющий функции и полномочия учредителя, или главный распорядитель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бюджетных средств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физической культуры и спорта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Одинцовского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Комитет).</w:t>
      </w:r>
    </w:p>
    <w:p w:rsidR="00A22D9B" w:rsidRPr="00F0327D" w:rsidRDefault="00A22D9B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Наименования муниципальных учреждений (групп учреждений), ок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азывающих муниципальную услугу: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 учреждени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физической культуры и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спорта подведомственные Комитету (далее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учреждения).</w:t>
      </w:r>
    </w:p>
    <w:p w:rsidR="00A22D9B" w:rsidRPr="00F0327D" w:rsidRDefault="00A22D9B" w:rsidP="00F831F8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Сведения о муниципальн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потребителей муниципальн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услуг: м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ые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оказыва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 для потребителей бесплатно в рамках муниципального задания.</w:t>
      </w:r>
    </w:p>
    <w:p w:rsidR="00A22D9B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Правовые акты, регламентирующие оказание муниципальной услуги:</w:t>
      </w:r>
    </w:p>
    <w:p w:rsidR="00A22D9B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Конвенция о правах ребенка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22D9B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Конституция Российской Федерации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 Российской Федерации от 07.02.1992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2300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-1 «О защите прав потребителей»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12.01.1996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7-ФЗ «О некоммерческих организациях»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24.07.1998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124-Ф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основных гарантиях прав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ребенка в Российской Федерации»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24.06.1999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120-ФЗ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основах системы профилактики безнадзорности и пра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вонарушений несовершеннолетних»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131-ФЗ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общих принципах организации местного самоупр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авления в Российской Федерации»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64B0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8) </w:t>
      </w:r>
      <w:r w:rsidR="00A22D9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02.05.2006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59-ФЗ «</w:t>
      </w:r>
      <w:r w:rsidR="00A22D9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порядке рассмотрения обращений граждан Российской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Федерации»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F0327D" w:rsidRDefault="00A64B00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9) </w:t>
      </w:r>
      <w:r w:rsidR="00A22D9B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A22D9B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 от 03.11.2006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A22D9B" w:rsidRPr="00941A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174-ФЗ «Об автономных учреждениях»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04.12.2007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329-ФЗ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физической культуре 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спорте в Российской Федерации»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 Правительства Российской Федерации от 25.04.2012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390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противопожарном режи</w:t>
      </w:r>
      <w:r w:rsidR="00F831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831F8" w:rsidRPr="00BD2694" w:rsidRDefault="00F831F8" w:rsidP="00F831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12) </w:t>
      </w:r>
      <w:r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здравоо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хранения РФ от 1 марта 2016 г. №</w:t>
      </w:r>
      <w:r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 134н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ультурно-спортивного комплекса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D2694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D26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3502E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13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16.08.2013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 «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приема лиц в физкультурно-спортивные организации, созданные Российской Федерацией и осуще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ствляющие спортивную подготовку»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3502E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27.12.2013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1125 «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особенностей организации и осуществления образовательной, тренировочной и методической деятельности в облас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 физической культуры и спорта»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Pr="003502E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30.10.2015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999 «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требований к обеспечению подготовки спортивного резерва для спортивных сборных команд Российской Фе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дерации»</w:t>
      </w:r>
      <w:r w:rsidRPr="00350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E546B" w:rsidRDefault="0069441D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08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687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«акробатический рок-н-ролл»</w:t>
      </w:r>
      <w:r w:rsidR="005E5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5E546B" w:rsidRPr="00F0327D" w:rsidRDefault="0069441D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30.12.2016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1362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5E546B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тайский бокс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E5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94CCA" w:rsidRPr="00F0327D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 Министерства с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 Российской Федерации от 30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.12.2014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1105 «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спортивная ак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робатика»</w:t>
      </w:r>
      <w:r w:rsidR="005E5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94CCA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12.10.2015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930 «</w:t>
      </w:r>
      <w:r w:rsidR="00D2240E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Федерального стандарта спортивной по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дготовки по виду спорта шахматы»</w:t>
      </w:r>
      <w:r w:rsidR="005E54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22D9B" w:rsidRDefault="00A22D9B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A22D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03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237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всестилевое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каратэ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7B77FD" w:rsidRDefault="00C06E6F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50FA4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30.12</w:t>
      </w:r>
      <w:r w:rsidR="00450FA4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450FA4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450FA4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1365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450FA4"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r w:rsidR="00450F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шашки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»;</w:t>
      </w:r>
    </w:p>
    <w:p w:rsidR="00E14CC0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A64B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Типовые требования </w:t>
      </w:r>
      <w:r w:rsidR="00E14CC0" w:rsidRP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тренировочным площадкам, включая их оснащение спортивно-технологическим оборудованием</w:t>
      </w:r>
      <w:r w:rsidR="00E14C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утвержденным Приказом Министерства спорта Российско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Федерации от 11.04.2014 № 230;</w:t>
      </w:r>
    </w:p>
    <w:p w:rsidR="007B77FD" w:rsidRDefault="007B77FD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23)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Министерства спорта Российской Федерации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16.02.2015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138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Федерального стандарта спортивной подготовки по виду спорта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киокусинкай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180401" w:rsidRDefault="00180401" w:rsidP="007B77FD">
      <w:pPr>
        <w:shd w:val="clear" w:color="auto" w:fill="FFFFFF"/>
        <w:spacing w:after="0" w:line="240" w:lineRule="auto"/>
        <w:ind w:right="-42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2240E" w:rsidRPr="007B77FD" w:rsidRDefault="00D2240E" w:rsidP="007B77F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-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B77F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 к оказанию муниципальной услуги</w:t>
      </w:r>
    </w:p>
    <w:p w:rsidR="007B77FD" w:rsidRPr="007B77FD" w:rsidRDefault="007B77FD" w:rsidP="007B77FD">
      <w:pPr>
        <w:shd w:val="clear" w:color="auto" w:fill="FFFFFF"/>
        <w:spacing w:after="0" w:line="240" w:lineRule="auto"/>
        <w:ind w:left="-851" w:right="-42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получения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Порядок принятия заяв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потребителя муниципальной услуги (заявителя)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52191" w:rsidRPr="00AF6A74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учреждения спорта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по письменному заявлению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поступающих, а в случае если они несовершеннолетние, то по письменному заявлению их законных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ей (далее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заявление о приеме) путем личной передачи заявления о приеме в приемную комиссию учреждения,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которой утверждается приказом руководителя учреждения.</w:t>
      </w:r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Сроки приема заявлений, а также сроки дополнительного набора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занимающихся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устанавливаются локальным нормативным актом учреждения.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Заявления о приеме могут подаваться одновременно в несколько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 спорта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заявлении о приеме указываются следующие сведения: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наименование программы спортивной подготовки, на которую планируется поступление;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фамилия, имя и отчество (при наличии) 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дата и место рождения поступающего;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фамилия, имя и отчество (при наличии) законных представителей несовершеннолетнего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поступающего;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номера телефонов поступающего или законных представителей несовершеннолетнего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 (при наличии);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сведения о гражданстве поступающего (при наличии);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адрес места жительства поступающего.</w:t>
      </w:r>
    </w:p>
    <w:p w:rsidR="007B77F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заявлении фиксируются факт ознакомления поступающего или законных представителей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несовершеннолетнего поступающего с уставом физкультурно-спортивной организац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и ее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локальными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актами, а также согласие на участие в процедуре индив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идуального отбора поступающего. </w:t>
      </w:r>
    </w:p>
    <w:p w:rsidR="00F52191" w:rsidRPr="00AF6A74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подаче заявления представляются следующие документы: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паспорта (при наличии) или свидетельства о рождении поступающего;</w:t>
      </w:r>
    </w:p>
    <w:p w:rsidR="00F52191" w:rsidRPr="00AF6A74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справка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медицинской организации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отсутствии у поступающего медицинских противопоказаний для освоения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соответствующей программы спортивной подготовки;</w:t>
      </w:r>
      <w:proofErr w:type="gramEnd"/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фотографии </w:t>
      </w:r>
      <w:proofErr w:type="gramStart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поступающего</w:t>
      </w:r>
      <w:proofErr w:type="gramEnd"/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 количестве и формате, установленном физкультурно-спортивной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F6A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организацией)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.2. Рассмотрение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приеме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рассматривается приемной комиссией учреждения в соответствии с Порядком приема лиц в физкультурно-спортивные организации, созданные Российской Федерацией и осуществляющие спортивную подготовку, утвержденным приказом Министерства спорта Российской Федерации от 16.08.2013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.3. Порядок принятия решения об удовлетворении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приеме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в учреждение осуществляется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наличии свободных мест 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результатов индивидуального отбора потребителей муниципальной услуги,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 (далее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индивидуальный отбор) в соответствии с Порядком приема лиц в физкультурно-спортивные организации, созданные Российской Федерацией и осуществляющие спортивную подготовку, утвержденным приказом Министерства спорта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 от 16.08.2013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645.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Зачисление потребителя муниципальной услуги в учреждение оформляется приказом руководителя учреждения.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Основания для отказа в оказании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несоответствие потребителя муниципальной услуги возрастному ограничению на прием в учреждение;</w:t>
      </w:r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не соответствующих требованиям, указанным в пункте 2.1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Стандарта;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отрицательный результат индивидуального отбора;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медицинских противопоказаний для занятий выбранным видом спорта;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свободных мест в учреждении.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Очередность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оказания муниципальной услуги: м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униципальная услуга оказывается в соответствии с </w:t>
      </w:r>
      <w:proofErr w:type="spell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пофамильным</w:t>
      </w:r>
      <w:proofErr w:type="spell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списком-рейтингом потребителей муниципальной услуги, сформированным по результатам индивидуального отбора.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Информирование потребителя муниципальной услуги (заявителя) о принятом решении: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Объявление результатов осуществляется путем размещения </w:t>
      </w:r>
      <w:proofErr w:type="spell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пофамильного</w:t>
      </w:r>
      <w:proofErr w:type="spell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сроки, установленные локальным нормативным актом учреждения.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Особенности принятия решений об оказании муниципальной услуг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отдельным категориям граждан: о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собенности принятия решений об оказании муниципальной услуги отдельным категориям граждан отсутствуют.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Срок оказания муниципальной услуги: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Срок непосредственного оказания муниципальной услуги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момента зачисления потребителя муниципальной услуги в учреждение на период нормативных сроков освоения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занимающимся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  <w:proofErr w:type="gramEnd"/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Требования к муниципальным учреждениям, оказывающим муниципальную услугу: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Документы, в соответствии с которыми функционирует муниципальное учреждение: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 учреждения;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Свидетельство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постановке на учет юридического лица в налоговом органе по месту нахождения на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</w:t>
      </w:r>
      <w:proofErr w:type="gramEnd"/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о внесении записи в Единый государ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ственный реестр юридических лиц;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о государ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ственной регистрации учреждения;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Локальные нормативные акты учреждения, разработанные в соответствии с действующим законодательством.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.2. Режим работы учреждения: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Режим работы учреждения определяется локальным нормативным актом учреждения.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 Условия размещения муниципального учреждения: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Здания и помещения учреждения должны соответствовать Правилам противопожарного режима в Российской Федерации, утвержденным постановлением Правительства Российско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Федерации от 25.04.2012 № 390, типовым требованиям </w:t>
      </w:r>
      <w:r w:rsidRPr="004F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тренировочным площадкам, включая их оснащение спортивно-технологическим оборудованием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утвержденным Приказом Министерства спорта Российской Федерации от 11.04.2014 № 230, ФССП по видам спорта утвержденным приказами Министерства спорта Российской Федерации.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 Материально-техническое обеспечение оказания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Специальное оборудование, приборы и аппаратура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должны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оваться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строго по назначению в соответствии с эксплуатационными документами, содержат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 в технически исправном состоянии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систематически проверя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.5. Кадровое обеспечение оказания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Учреждение должно располагать необходимым числом специалистов в соответствии со штатным расписанием.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Подбор персонала в учреждени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должен осуществляться в соответствии с действующим законодательством в Российской Федерации.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 Должностные лица в муниципальном учреждении, ответственные за оказание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оказываемой муниципальной услуги.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 учреждения обязан: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разъяснение и доведение настоящего Стандарта до всех участников процесса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спортивной подготовки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организовать внутренний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настоящего Стандарта;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Основания для досрочного прекращения либо приостановления оказания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2.7.1.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Досрочное прекращение оказания муниципальной услуги производится по следующим основаниям: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несоответствие спортивных результатов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работ, оказываемых и выполняемых муниципальными учреждениями подве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домственными Комитету;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реорганизация или ликвидация учреждения, осуществляющего оказание муниципальной услуги;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личному желанию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(по заявлению родителей (законных представителей)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несовершеннолетнего 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ухудшения состояния здоровья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 наличии медицинского заключения;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тренерского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учреждения за совершение противоправных действий, грубые и неоднократные нарушения Устава учреждения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соответствии с локальными нормативными актами учреждения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Решение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тренерского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отчислении занимающегося из учреждения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принимается в присутствии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его родителей (законных представителей). Отсутствие на заседании совета учреждения без уважительной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причины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его родителей (законных представителей) не лишает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тренерский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 учреждения возможности рассмотреть вопрос об исключении;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невыполнении родителями (законными представителями)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условий договора на оказание муниципальной услуги.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2.7.2.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Приостановление оказания муниципальной услуги носит заявительный характер. Оказание муниципальной услуги приостанавливается в следующих случаях:</w:t>
      </w:r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период болезни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занимающегося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52191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решению надзорного органа или суда;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решению учредителя.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Процедуры приостановления оказания муниципальной услуги нет.</w:t>
      </w:r>
    </w:p>
    <w:p w:rsidR="00F52191" w:rsidRPr="00F0327D" w:rsidRDefault="00F52191" w:rsidP="007B77FD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Результат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оказания муниципальной услуги: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занимающимся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  <w:proofErr w:type="gramEnd"/>
    </w:p>
    <w:p w:rsidR="00F52191" w:rsidRDefault="00F52191" w:rsidP="00753BC6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Показатели, характеризующие качество муниципальной услуги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3261"/>
        <w:gridCol w:w="2268"/>
      </w:tblGrid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68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</w:t>
            </w: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Формула</w:t>
            </w: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информации о значении показателя (исходных данных для его расчета)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зачисленных на тренировочный этап (этап спортивной специализации)/Количество занимающихся, прошедших спортивную подготовку на этапе начальной подготовки по факту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зачисленных на этап совершенствования спортивного мастерства/ Количество занимающихся, зачисленных на тренировочный этап (этап спортивной специализации) 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зачисленных на этап высшего спортивного мастерства /Количество занимающихся, зачисленных на этап совершенствования спортивного мастерства x 100%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Доля лиц, прошедших спортивную подготовку на этапе начальной подготовки и переведенных внутри этапа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переведенных внутри этапа спортивной подготовки / Количество занимающихся, прошедших спортивную подготовку на этапе начальной подготовки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факту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Доля лиц, прошедших спортивную подготовку на тренировочном этапе (этап спортивной специализации) и 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переведенных внутри этапа спортивной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переведенных внутри этапа спортивной подготовки / Количество занимающихся, 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зачисленных на тренировочный этап (этап спортивной специализации)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Доля лиц, прошедших спортивную подготовку на этапе совершенствования спортивного мастерства и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совершенствования спортивного мастерства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занимающихся,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совершенствования спортивного мастерства / Количество занимающихся, на этапе совершенствования спортивного мастерства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  <w:tr w:rsidR="00F52191" w:rsidRPr="002E2782" w:rsidTr="00C40EFF"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191" w:rsidRPr="002E2782" w:rsidRDefault="00F52191" w:rsidP="007B77FD">
            <w:pPr>
              <w:spacing w:after="0" w:line="240" w:lineRule="auto"/>
              <w:ind w:left="68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7. 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191" w:rsidRPr="002E2782" w:rsidRDefault="00F52191" w:rsidP="007B77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191" w:rsidRPr="002E2782" w:rsidRDefault="00F52191" w:rsidP="007B77FD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занимающихся,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</w:t>
            </w: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этапе высшего спортивного мастерства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Количество занимающихся, на </w:t>
            </w:r>
            <w:r w:rsidRPr="002E27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этапе высшего спортивного мастерства</w:t>
            </w: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52191" w:rsidRPr="002E2782" w:rsidRDefault="00F52191" w:rsidP="007B77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журналы, приказы о зачислениях и переводах</w:t>
            </w:r>
          </w:p>
        </w:tc>
      </w:tr>
    </w:tbl>
    <w:p w:rsidR="00F52191" w:rsidRPr="002E2782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52191" w:rsidRPr="00F0327D" w:rsidRDefault="00F52191" w:rsidP="007B77FD">
      <w:pPr>
        <w:shd w:val="clear" w:color="auto" w:fill="FFFFFF"/>
        <w:spacing w:after="0" w:line="240" w:lineRule="auto"/>
        <w:ind w:right="-426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информирования потенциальных потребителей муниципальной услуги</w:t>
      </w:r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353"/>
        <w:gridCol w:w="3801"/>
        <w:gridCol w:w="359"/>
        <w:gridCol w:w="2124"/>
        <w:gridCol w:w="428"/>
      </w:tblGrid>
      <w:tr w:rsidR="00F52191" w:rsidRPr="00F0327D" w:rsidTr="00C40EFF">
        <w:trPr>
          <w:gridBefore w:val="1"/>
          <w:gridAfter w:val="1"/>
          <w:wBefore w:w="284" w:type="dxa"/>
          <w:wAfter w:w="428" w:type="dxa"/>
          <w:trHeight w:val="15"/>
        </w:trPr>
        <w:tc>
          <w:tcPr>
            <w:tcW w:w="3353" w:type="dxa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gridSpan w:val="2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191" w:rsidRPr="00F0327D" w:rsidTr="00C40EFF">
        <w:tc>
          <w:tcPr>
            <w:tcW w:w="3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F52191" w:rsidRPr="00F0327D" w:rsidTr="00C40EFF"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Размещение информации на официальном информационном сайте Одинцовского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учреждения, место нахождения, оказываемые муниципальные услуги, настоящий Стандарт, иная информация в соответствии с Федеральным законом от 07.02.1992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2300-1 "О защите прав потребителей"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одного раза в год</w:t>
            </w:r>
          </w:p>
        </w:tc>
      </w:tr>
      <w:tr w:rsidR="00F52191" w:rsidRPr="00F0327D" w:rsidTr="00753BC6">
        <w:tc>
          <w:tcPr>
            <w:tcW w:w="363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Размещение информации на информационных стендах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</w:t>
            </w:r>
          </w:p>
        </w:tc>
        <w:tc>
          <w:tcPr>
            <w:tcW w:w="416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F52191" w:rsidRPr="00F0327D" w:rsidTr="00753BC6"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Размещение информации на официальном сайте Российской Федерации для размещения информации о государственных (муниципальных) учреждениях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требованием Федерального закона от 12.01.1996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№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7-ФЗ "О некоммерческих организациях"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пяти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дней, следующих за днем принятия документов или внесения изменений в документы</w:t>
            </w:r>
          </w:p>
        </w:tc>
      </w:tr>
      <w:tr w:rsidR="00F52191" w:rsidRPr="00F0327D" w:rsidTr="007C50E7">
        <w:tc>
          <w:tcPr>
            <w:tcW w:w="363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Размещение информации </w:t>
            </w: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средствах массовой информации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52191" w:rsidRPr="00F0327D" w:rsidTr="007C50E7"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10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Размещение информации на официальном сайте учреждения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7B77FD">
            <w:pPr>
              <w:spacing w:after="0" w:line="240" w:lineRule="auto"/>
              <w:ind w:left="284"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местонахождение учреждения, информация о режиме работы, справочных телефонах, фамилиях, именах, отчествах специалистов учреждения, информация об объемах оказываемой муниципальной услуги, порядок подачи жалоб и предложений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035F3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</w:tbl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 обжалования действия (бездействия) должностного лица, а также принимаемого им решения при оказании муниципальной услуги, определяется в соответствии с Федеральным законом от 02.05.2006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59-ФЗ «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рассмотрения обращений гражда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 Российской Федерации»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Порядок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оказанием муниципальной услуги: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 Внутренний контроль: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учреждении должна функционировать система внутреннего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качеством оказания муниципальной услуги.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Внутренний контроль осуществляется руководителем учреждения и его заместителями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локального нормативного акта, который определяет порядок, формы и виды контроля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Внутренний контроль подразделяется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оперативный контроль (по выявленным проблемным фактам и жалобам, касающимся качества оказания муниципальной услуги);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плановый контроль: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тематический (контроль по определенной теме или направлению деятельности учреждения);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комплексный (в том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числе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проверка осуществления деятельности отдельных работников).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Выявленные недостатки по оказанию муниципальной услуги анализируются по каждому работнику учреждения с рассмотрением на тренерском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 Внешний контроль:</w:t>
      </w:r>
    </w:p>
    <w:p w:rsidR="00F52191" w:rsidRPr="00F0327D" w:rsidRDefault="00F52191" w:rsidP="00C40EFF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деятельностью учреждения осуществляется посредством процедур внешнего контроля.</w:t>
      </w:r>
    </w:p>
    <w:p w:rsidR="00F52191" w:rsidRPr="00F0327D" w:rsidRDefault="00F52191" w:rsidP="00753BC6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Внешний </w:t>
      </w:r>
      <w:proofErr w:type="gramStart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F032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деятельностью учреждения по оказанию муниципальной услуги осуществляет Комитет.</w:t>
      </w: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3280"/>
        <w:gridCol w:w="3685"/>
      </w:tblGrid>
      <w:tr w:rsidR="00F52191" w:rsidRPr="00F0327D" w:rsidTr="00C40EFF">
        <w:trPr>
          <w:trHeight w:val="15"/>
        </w:trPr>
        <w:tc>
          <w:tcPr>
            <w:tcW w:w="2958" w:type="dxa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F52191" w:rsidRPr="00F0327D" w:rsidRDefault="00F52191" w:rsidP="00C40EFF">
            <w:pPr>
              <w:spacing w:after="0" w:line="240" w:lineRule="auto"/>
              <w:ind w:left="-851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191" w:rsidRPr="00F0327D" w:rsidTr="00C40EFF"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(основание)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7B77F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Органы, осуществляющие </w:t>
            </w:r>
            <w:proofErr w:type="gramStart"/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B7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оказанием муниципальной услуги</w:t>
            </w:r>
          </w:p>
        </w:tc>
      </w:tr>
      <w:tr w:rsidR="00F52191" w:rsidRPr="00F0327D" w:rsidTr="00C40EFF">
        <w:tc>
          <w:tcPr>
            <w:tcW w:w="2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F0327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проверки</w:t>
            </w:r>
          </w:p>
        </w:tc>
        <w:tc>
          <w:tcPr>
            <w:tcW w:w="3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2-х раз в 3 года</w:t>
            </w:r>
          </w:p>
          <w:p w:rsidR="00F52191" w:rsidRPr="00F0327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(ежегодный план проверок)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F0327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Комитет</w:t>
            </w:r>
          </w:p>
        </w:tc>
      </w:tr>
      <w:tr w:rsidR="00F52191" w:rsidRPr="00F0327D" w:rsidTr="00C40EFF">
        <w:tc>
          <w:tcPr>
            <w:tcW w:w="29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F0327D" w:rsidRDefault="00F52191" w:rsidP="00C40EFF">
            <w:pPr>
              <w:spacing w:after="0" w:line="240" w:lineRule="auto"/>
              <w:ind w:left="284" w:righ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</w:t>
            </w:r>
            <w:r w:rsidRPr="00F0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F52191" w:rsidRPr="00F0327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(поступление жалоб, предписаний надзорных организаций и т.</w:t>
            </w:r>
            <w:r w:rsidR="007B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</w:t>
            </w:r>
          </w:p>
        </w:tc>
        <w:tc>
          <w:tcPr>
            <w:tcW w:w="3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52191" w:rsidRPr="00F0327D" w:rsidRDefault="00F52191" w:rsidP="00C40EFF">
            <w:pPr>
              <w:spacing w:after="0" w:line="240" w:lineRule="auto"/>
              <w:ind w:left="284" w:righ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Комитет </w:t>
            </w:r>
          </w:p>
        </w:tc>
      </w:tr>
    </w:tbl>
    <w:p w:rsidR="00361307" w:rsidRDefault="00361307" w:rsidP="00C40EFF">
      <w:pPr>
        <w:shd w:val="clear" w:color="auto" w:fill="FFFFFF"/>
        <w:spacing w:after="0" w:line="240" w:lineRule="auto"/>
        <w:ind w:left="-851" w:right="-426"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B77FD" w:rsidRDefault="007B77FD" w:rsidP="00C40EFF">
      <w:pPr>
        <w:shd w:val="clear" w:color="auto" w:fill="FFFFFF"/>
        <w:spacing w:after="0" w:line="240" w:lineRule="auto"/>
        <w:ind w:left="-851" w:right="-426"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52191" w:rsidRPr="00F0327D" w:rsidRDefault="00F52191" w:rsidP="00C40EFF">
      <w:pPr>
        <w:shd w:val="clear" w:color="auto" w:fill="FFFFFF"/>
        <w:spacing w:after="0" w:line="240" w:lineRule="auto"/>
        <w:ind w:left="-851" w:right="-426"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Председатель Комитета                                                     </w:t>
      </w:r>
      <w:r w:rsidR="007B77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А.Ю. Олянич</w:t>
      </w:r>
    </w:p>
    <w:p w:rsidR="00417E77" w:rsidRPr="00F0327D" w:rsidRDefault="00417E77" w:rsidP="00C40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E77" w:rsidRPr="00F0327D" w:rsidSect="007C50E7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601"/>
    <w:multiLevelType w:val="hybridMultilevel"/>
    <w:tmpl w:val="12F4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57C1"/>
    <w:multiLevelType w:val="hybridMultilevel"/>
    <w:tmpl w:val="AFD4DC66"/>
    <w:lvl w:ilvl="0" w:tplc="F6DC1B3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49"/>
    <w:rsid w:val="00035F3D"/>
    <w:rsid w:val="00094490"/>
    <w:rsid w:val="00094CCA"/>
    <w:rsid w:val="000D2F28"/>
    <w:rsid w:val="000F1AEC"/>
    <w:rsid w:val="0015506F"/>
    <w:rsid w:val="00180401"/>
    <w:rsid w:val="00222FBB"/>
    <w:rsid w:val="002810E2"/>
    <w:rsid w:val="002908A2"/>
    <w:rsid w:val="002A7828"/>
    <w:rsid w:val="002E2782"/>
    <w:rsid w:val="00343DDB"/>
    <w:rsid w:val="003502ED"/>
    <w:rsid w:val="00361307"/>
    <w:rsid w:val="00364B44"/>
    <w:rsid w:val="00370244"/>
    <w:rsid w:val="00373925"/>
    <w:rsid w:val="00380C49"/>
    <w:rsid w:val="003A35D0"/>
    <w:rsid w:val="00403225"/>
    <w:rsid w:val="00404C32"/>
    <w:rsid w:val="00417E77"/>
    <w:rsid w:val="00450FA4"/>
    <w:rsid w:val="00491018"/>
    <w:rsid w:val="004A246F"/>
    <w:rsid w:val="004D18BF"/>
    <w:rsid w:val="004F53D2"/>
    <w:rsid w:val="004F5BBE"/>
    <w:rsid w:val="00517855"/>
    <w:rsid w:val="00523D0D"/>
    <w:rsid w:val="00585109"/>
    <w:rsid w:val="0059527F"/>
    <w:rsid w:val="005A0150"/>
    <w:rsid w:val="005D3CA5"/>
    <w:rsid w:val="005E32C7"/>
    <w:rsid w:val="005E546B"/>
    <w:rsid w:val="0069441D"/>
    <w:rsid w:val="006B5B2A"/>
    <w:rsid w:val="006F742C"/>
    <w:rsid w:val="00707D92"/>
    <w:rsid w:val="00720003"/>
    <w:rsid w:val="007221C7"/>
    <w:rsid w:val="00723C6F"/>
    <w:rsid w:val="00735939"/>
    <w:rsid w:val="0074085B"/>
    <w:rsid w:val="007469A0"/>
    <w:rsid w:val="007532D3"/>
    <w:rsid w:val="00753BC6"/>
    <w:rsid w:val="007B77FD"/>
    <w:rsid w:val="007C50E7"/>
    <w:rsid w:val="00807608"/>
    <w:rsid w:val="00884E27"/>
    <w:rsid w:val="008C7CEB"/>
    <w:rsid w:val="008E05E4"/>
    <w:rsid w:val="008F3C7E"/>
    <w:rsid w:val="00941A39"/>
    <w:rsid w:val="0095060C"/>
    <w:rsid w:val="00974196"/>
    <w:rsid w:val="00991FEC"/>
    <w:rsid w:val="009A5864"/>
    <w:rsid w:val="009B696A"/>
    <w:rsid w:val="00A22D9B"/>
    <w:rsid w:val="00A60FE7"/>
    <w:rsid w:val="00A64B00"/>
    <w:rsid w:val="00A679D3"/>
    <w:rsid w:val="00A81F9A"/>
    <w:rsid w:val="00AB56CE"/>
    <w:rsid w:val="00AD2025"/>
    <w:rsid w:val="00AF6A74"/>
    <w:rsid w:val="00B34FFD"/>
    <w:rsid w:val="00B50815"/>
    <w:rsid w:val="00B776F2"/>
    <w:rsid w:val="00B820BF"/>
    <w:rsid w:val="00B8360C"/>
    <w:rsid w:val="00BD2694"/>
    <w:rsid w:val="00BD66D6"/>
    <w:rsid w:val="00C05390"/>
    <w:rsid w:val="00C06E6F"/>
    <w:rsid w:val="00C40EFF"/>
    <w:rsid w:val="00C81CC8"/>
    <w:rsid w:val="00CD671E"/>
    <w:rsid w:val="00D2240E"/>
    <w:rsid w:val="00D61EAF"/>
    <w:rsid w:val="00DE1CEC"/>
    <w:rsid w:val="00E018F3"/>
    <w:rsid w:val="00E14CC0"/>
    <w:rsid w:val="00E652C9"/>
    <w:rsid w:val="00E765EC"/>
    <w:rsid w:val="00E94C2F"/>
    <w:rsid w:val="00EA453C"/>
    <w:rsid w:val="00EB4FA9"/>
    <w:rsid w:val="00ED2E3F"/>
    <w:rsid w:val="00F0327D"/>
    <w:rsid w:val="00F52191"/>
    <w:rsid w:val="00F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2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2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40E"/>
  </w:style>
  <w:style w:type="character" w:styleId="a3">
    <w:name w:val="Hyperlink"/>
    <w:basedOn w:val="a0"/>
    <w:uiPriority w:val="99"/>
    <w:semiHidden/>
    <w:unhideWhenUsed/>
    <w:rsid w:val="00D224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240E"/>
    <w:rPr>
      <w:color w:val="800080"/>
      <w:u w:val="single"/>
    </w:rPr>
  </w:style>
  <w:style w:type="paragraph" w:customStyle="1" w:styleId="unformattext">
    <w:name w:val="unformat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F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0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2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2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40E"/>
  </w:style>
  <w:style w:type="character" w:styleId="a3">
    <w:name w:val="Hyperlink"/>
    <w:basedOn w:val="a0"/>
    <w:uiPriority w:val="99"/>
    <w:semiHidden/>
    <w:unhideWhenUsed/>
    <w:rsid w:val="00D224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240E"/>
    <w:rPr>
      <w:color w:val="800080"/>
      <w:u w:val="single"/>
    </w:rPr>
  </w:style>
  <w:style w:type="paragraph" w:customStyle="1" w:styleId="unformattext">
    <w:name w:val="unformattext"/>
    <w:basedOn w:val="a"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F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9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66751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77146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9878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36349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50154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45769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04681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09399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07351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70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98EA-AF9F-46D5-8CD7-C9BFD3F8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7000</Words>
  <Characters>39902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Андреевна</dc:creator>
  <cp:lastModifiedBy>user</cp:lastModifiedBy>
  <cp:revision>21</cp:revision>
  <cp:lastPrinted>2020-11-16T09:07:00Z</cp:lastPrinted>
  <dcterms:created xsi:type="dcterms:W3CDTF">2020-03-20T07:59:00Z</dcterms:created>
  <dcterms:modified xsi:type="dcterms:W3CDTF">2020-11-16T09:26:00Z</dcterms:modified>
  <dc:description>exif_MSED_7fa96ff7e7631bc2ca5cee667c7e7734a5a08e9cc04cf1d3ffe2a1cb9a78aa28</dc:description>
</cp:coreProperties>
</file>