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Look w:val="04A0" w:firstRow="1" w:lastRow="0" w:firstColumn="1" w:lastColumn="0" w:noHBand="0" w:noVBand="1"/>
      </w:tblPr>
      <w:tblGrid>
        <w:gridCol w:w="4644"/>
        <w:gridCol w:w="4987"/>
      </w:tblGrid>
      <w:tr w:rsidR="00735939" w:rsidRPr="00735939" w:rsidTr="00735939">
        <w:tc>
          <w:tcPr>
            <w:tcW w:w="4644" w:type="dxa"/>
          </w:tcPr>
          <w:p w:rsidR="00735939" w:rsidRPr="00735939" w:rsidRDefault="00735939" w:rsidP="00C4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hideMark/>
          </w:tcPr>
          <w:p w:rsidR="00735939" w:rsidRDefault="00735939" w:rsidP="00C4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C40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постановлением Администрации Одинцовского </w:t>
            </w:r>
            <w:r w:rsidR="00281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Московской области </w:t>
            </w:r>
            <w:proofErr w:type="gramStart"/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2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</w:t>
            </w:r>
            <w:r w:rsidR="008E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8E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52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</w:t>
            </w:r>
          </w:p>
          <w:p w:rsidR="008E05E4" w:rsidRPr="00735939" w:rsidRDefault="008E05E4" w:rsidP="00C4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</w:t>
      </w:r>
      <w:r w:rsidR="00C4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D2240E" w:rsidRPr="00F0327D" w:rsidRDefault="00D2240E" w:rsidP="00C40E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спортивной подготовке по олимпийским видам спорта</w:t>
      </w:r>
    </w:p>
    <w:p w:rsidR="00C40EFF" w:rsidRDefault="00C40EFF" w:rsidP="00C40EFF">
      <w:pPr>
        <w:shd w:val="clear" w:color="auto" w:fill="FFFFFF"/>
        <w:spacing w:after="0" w:line="240" w:lineRule="auto"/>
        <w:ind w:left="-851"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C40EFF" w:rsidRDefault="00D2240E" w:rsidP="00C40E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40E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C40EFF" w:rsidRPr="00C40EFF" w:rsidRDefault="00C40EFF" w:rsidP="00C40EFF">
      <w:pPr>
        <w:pStyle w:val="a8"/>
        <w:shd w:val="clear" w:color="auto" w:fill="FFFFFF"/>
        <w:spacing w:after="0" w:line="240" w:lineRule="auto"/>
        <w:ind w:right="-28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Наименование муниципальной услуги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подготовка по олимпийским видам спорта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услуга).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Содержание муниципальной услуги</w:t>
      </w:r>
    </w:p>
    <w:tbl>
      <w:tblPr>
        <w:tblW w:w="0" w:type="auto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60"/>
      </w:tblGrid>
      <w:tr w:rsidR="00D2240E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2240E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EA453C" w:rsidP="00C52E59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Бадминтон, Баскетбол, Бокс, </w:t>
            </w:r>
            <w:r w:rsidR="00C52E59" w:rsidRPr="00A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Велосипедный спорт</w:t>
            </w:r>
            <w:r w:rsidRPr="00AF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Спортивная борьба, Конный спорт, Легкая атлетика, Лы</w:t>
            </w:r>
            <w:r w:rsidR="00974196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гонки, Настольный теннис, П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лавание</w:t>
            </w:r>
            <w:r w:rsidR="00974196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Пулевая стрельба, Софтбол, Стрельба из лука, Теннис, Тхэквондо, Тяжелая атлетика, Фехтование, Футбол, Художественная гимнастика, Дзюдо, Хоккей, Фигурное катание</w:t>
            </w:r>
            <w:r w:rsidR="009A5864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коньках</w:t>
            </w:r>
            <w:r w:rsid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Каратэ, Спортивна</w:t>
            </w:r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гимнастика, Горнолыжный спорт, Каратэ.</w:t>
            </w:r>
            <w:proofErr w:type="gramEnd"/>
          </w:p>
        </w:tc>
      </w:tr>
    </w:tbl>
    <w:p w:rsidR="00D2240E" w:rsidRPr="00F0327D" w:rsidRDefault="00D2240E" w:rsidP="00C40EFF">
      <w:pPr>
        <w:shd w:val="clear" w:color="auto" w:fill="FFFFFF"/>
        <w:spacing w:after="0" w:line="240" w:lineRule="auto"/>
        <w:ind w:right="284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Условия (формы) оказания муниципальной услуги</w:t>
      </w:r>
    </w:p>
    <w:tbl>
      <w:tblPr>
        <w:tblW w:w="0" w:type="auto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60"/>
      </w:tblGrid>
      <w:tr w:rsidR="00491018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91018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  <w:r w:rsidR="002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этап высшего спортивного мастерства</w:t>
            </w:r>
          </w:p>
        </w:tc>
      </w:tr>
    </w:tbl>
    <w:p w:rsidR="0097419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Потребители муниципальной услуги и их характеристика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изические лица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(граждане Российской Федерации).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Орган, осуществляющий функции и полномочия учредителя, или главный распорядитель 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средств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физической культуры и спорта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Одинцовского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Комитет).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Наименования муниципальных учреждений (групп учреждений), оказывающих муниципальную услугу: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учреждени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физической культуры и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спорта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подведомственные Комитету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Сведения о 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потребителей 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для потребителей бесплатно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рамках муниципального задания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Правовые акты, регламентирующие оказание муниципальной услуги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D66D6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Конвенция о правах ребенка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D66D6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 Российской Федерации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 Российской Федерации от 07.02.1992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2300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«О защите прав потребителей»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12.01.1996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7-ФЗ «О некоммерческих организациях»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124-ФЗ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основных гарантиях прав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ребенка в Российской 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24.06.1999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120-ФЗ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системы профилактики безнадзорности и пра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вонарушений несовершеннолетних»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авления в Российской 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02.05.2006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рассмотрения обращений граждан Российской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 от 03.11.2006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«Об автономных учреждениях»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04.12.2007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329-ФЗ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физической культуре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спорте в Российской Федерации»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0F1AE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 Правительства Российской Федерации от 25.04.2012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противопожарном режи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BD2694" w:rsidRDefault="0069441D" w:rsidP="00BD26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здравоо</w:t>
      </w:r>
      <w:r w:rsidR="00F831F8"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хранения РФ от 1 марта 2016 г. №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 134н</w:t>
      </w:r>
      <w:r w:rsidR="00BD2694">
        <w:rPr>
          <w:rFonts w:ascii="Times New Roman" w:hAnsi="Times New Roman" w:cs="Times New Roman"/>
          <w:sz w:val="24"/>
          <w:szCs w:val="24"/>
        </w:rPr>
        <w:t xml:space="preserve"> 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ультурно-спортивного комплекса</w:t>
      </w:r>
      <w:proofErr w:type="gramEnd"/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 к труду и обороне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502ED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3502E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16.08.2013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 «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приема лиц в физкультурно-спортивные организации, созданные Российской Федерацией и осуще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ствляющие спортивную подготовку»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27.12.2013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1125 «</w:t>
      </w:r>
      <w:r w:rsidR="00D2240E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порта»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41A39" w:rsidRPr="003502E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спорта Российской Федерации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30.10.2015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99 «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21.08.2017 </w:t>
      </w:r>
      <w:r w:rsidR="00707D92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D92" w:rsidRPr="00707D92">
        <w:rPr>
          <w:rFonts w:ascii="Times New Roman" w:hAnsi="Times New Roman" w:cs="Times New Roman"/>
          <w:sz w:val="24"/>
          <w:szCs w:val="24"/>
          <w:shd w:val="clear" w:color="auto" w:fill="FFFFFF"/>
        </w:rPr>
        <w:t>767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вки по </w:t>
      </w:r>
      <w:r w:rsidR="007221C7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виду с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 «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дзюдо»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675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подготовки по виду с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порта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художественная гимнастика»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40</w:t>
      </w:r>
      <w:r w:rsidR="00707D92" w:rsidRPr="00870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товки по виду спорта «фехтование»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36</w:t>
      </w:r>
      <w:r w:rsidR="00707D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отовки по виду спорта «тхэквондо»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672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едерального стандарта спортивной подготовки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виду спорта «тяжелая атлетика»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20.03.2019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250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утверждении Ф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подготов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 по виду спорта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«лыжные гонки»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10.04.2013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114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отовки по виду спорта «баскетбол»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16.04.2018 № 348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«бокс»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27.03.2013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145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ортивная борьба»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 № 35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«пулевая стрельба»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25.10.2019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880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«футбол»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27.03.2013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148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«стрельба из лука»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«хоккей»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20.08.2019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673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«легкая атлетика»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31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«настольный теннис»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37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«бадминтон»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52E59" w:rsidRPr="00AF03DD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F0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 w:rsidRPr="00AF0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Приказ Министерства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спорта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Р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оссийской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Ф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едерации от 17.09.2020 г. №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710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«Об утверждении правил вида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спорта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Велосипедный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52E59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спорт</w:t>
      </w:r>
      <w:r w:rsidR="005F2BE3" w:rsidRPr="00AF03DD">
        <w:rPr>
          <w:rStyle w:val="ad"/>
          <w:rFonts w:ascii="Times New Roman" w:hAnsi="Times New Roman" w:cs="Times New Roman"/>
          <w:i w:val="0"/>
          <w:sz w:val="24"/>
          <w:szCs w:val="24"/>
        </w:rPr>
        <w:t>»;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18.06.2013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402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«конный спорт»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7419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30.08.2013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680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«волейбол»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7419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 № 38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фигурно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катание на коньках»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765EC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E765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22.12.2015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1227 «</w:t>
      </w:r>
      <w:r w:rsidR="00E765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«софтбол»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4C32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спорта Российской Федерации от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935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гимнастика»;</w:t>
      </w:r>
    </w:p>
    <w:p w:rsidR="00404C32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горнолыжный спорт»;</w:t>
      </w:r>
    </w:p>
    <w:p w:rsidR="00450FA4" w:rsidRDefault="00450FA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404C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813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каратэ»;</w:t>
      </w:r>
    </w:p>
    <w:p w:rsidR="00E14CC0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E14CC0" w:rsidRP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Типовые требования </w:t>
      </w:r>
      <w:r w:rsidR="00E14CC0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</w:t>
      </w:r>
      <w:bookmarkStart w:id="0" w:name="_GoBack"/>
      <w:bookmarkEnd w:id="0"/>
      <w:r w:rsidR="00E14CC0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оборудованием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утвержденные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Приказом Министерства спорта Российской Федерации от 11.04.2014 № 230.</w:t>
      </w:r>
    </w:p>
    <w:p w:rsidR="00450FA4" w:rsidRPr="00F0327D" w:rsidRDefault="00450FA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240E" w:rsidRPr="0015506F" w:rsidRDefault="00D2240E" w:rsidP="0015506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50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оказанию муниципальной услуги</w:t>
      </w:r>
    </w:p>
    <w:p w:rsidR="0015506F" w:rsidRPr="0015506F" w:rsidRDefault="0015506F" w:rsidP="0015506F">
      <w:pPr>
        <w:shd w:val="clear" w:color="auto" w:fill="FFFFFF"/>
        <w:spacing w:after="0" w:line="240" w:lineRule="auto"/>
        <w:ind w:left="360" w:right="-2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получения муниципальной услуги</w:t>
      </w:r>
      <w:r w:rsidR="00E765EC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Порядок принятия заяв</w:t>
      </w:r>
      <w:r w:rsidR="0080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потребителя муниципальной услуги (заявителя)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F6A74" w:rsidRPr="00AF6A74" w:rsidRDefault="00AF6A74" w:rsidP="0015506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учреждения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письменному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поступающих, а в случае если они несовершеннолетние, то по письменному заявлению их законных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(далее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о приеме) путем личной передачи заявления о приеме в приемную комиссию учреждения,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которой утверждается приказом руководителя учреждения.</w:t>
      </w:r>
    </w:p>
    <w:p w:rsidR="00491018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Сроки приема заявлений, а также сроки дополнительного набора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занимающихся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устанавливаются локальным нормативным актом учреждения.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 приеме могут подаваться одновременно в несколько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фамилия, имя и отчество (при наличии)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F5BBE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и место рождения поступающего;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номера телефонов поступающего или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 (при наличии);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сведения о гражданстве поступающего (при наличии);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места жительства поступающего.</w:t>
      </w:r>
    </w:p>
    <w:p w:rsidR="00B34FFD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фиксируются факт ознакомления поступающего или законных представителей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поступающего с уставом физкультурно-спортивной организац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локальными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актами, а также согласие на участие в процедуре индив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идуального отбора поступающего.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медицинской организации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отсутствии у поступающего медицинских противопоказаний для освоения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программы спортивной подготовки;</w:t>
      </w:r>
      <w:proofErr w:type="gramEnd"/>
    </w:p>
    <w:p w:rsid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фотографии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количестве и формате, установленном физкультурно-спортивной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Рассмотрение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="00E765EC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7532D3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рассматривается приемной комиссией учреждения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 Российской Федерации от 16.08.2013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Порядок принятия решения об удовлетворении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2240E" w:rsidRPr="00F0327D" w:rsidRDefault="00D2240E" w:rsidP="00B34F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в учреждение осуществляется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наличии свободных мест и</w:t>
      </w:r>
      <w:r w:rsidR="007532D3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результатов индивидуального отбора потребителей муниципальной услуги,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 (далее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индивидуальный отбор)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от 16.08.2013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Основания для отказа в оказании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есоответствие потребителя муниципальной услуги возрастному ограничению на прием в учреждение;</w:t>
      </w:r>
    </w:p>
    <w:p w:rsidR="00491018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не соответствующих требованиям, указанным в пункте 2.1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Стандарта;</w:t>
      </w:r>
    </w:p>
    <w:p w:rsidR="004F53D2" w:rsidRPr="00F0327D" w:rsidRDefault="004F53D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отрицательный результат индивидуального отбора;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медицинских противопоказаний для занятий выбранным видом спорта;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свободных мест в учреждении.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Очередность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услуга оказывается в соответствии с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пофамильным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списком-рейтингом потребителей муниципальной услуги, сформированным по результатам индивидуального отбора.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Информирование потребителя муниципальной услуги (заявителя) о принятом решении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1CC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пофамильного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официальном сайте учреждения в сроки, установленные локальным нормативным актом учреждения.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Особенности принятия решений об оказании муниципальной услуги отдельным категориям граждан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собенности принятия решений об оказании муниципальной услуги отдельным категориям граждан отсутствуют.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2240E" w:rsidRPr="00F0327D" w:rsidRDefault="00D2240E" w:rsidP="00B34F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непосредственного оказания муниципальной услуги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зачисления потребителя муниципальной услуги в учреждение на период нормативных сроков освоения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Требования к муниципальным учреждениям, оказывающим муниципальную услугу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Документы, в соответствии с которыми функционирует муниципальное учреждение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 учреждения;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постановке на учет юридического лица в налоговом органе по месту нахождения на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proofErr w:type="gramEnd"/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внесении записи в Единый государственн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 реестр юридических лиц;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государ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регистрации учреждения;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Локальные нормативные акты учреждения, разработанные в соответствии с действующим законодательством.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Режим работы учреждения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ежим работы учреждения определяется локальным нормативным актом учреждения.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Условия размещения муниципального учреждения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Федерации от 25.04.2012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390, типовым требованиям </w:t>
      </w:r>
      <w:r w:rsidR="004F53D2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Российской Федерации от 11.04.2014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230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ФССП по видам спорта утвержденным приказами Министерства спорта Российской Федерации.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Материально-техническое обеспечение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пециальное оборудование, приборы и аппаратура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должны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оваться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строго по назначению в соответствии с эксплуатационными документами, содержат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в технически исправном состоянии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систематически проверя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 Кадровое обеспечение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Учреждение должно располагать необходимым числом специалистов в соответствии со штатным расписанием.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Подбор персонала в учреждени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осуществляться в соответствии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действующим законодательством в Российской Федерации.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Должностные лица в муниципальном учреждении, ответственные за оказание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оказываемой муниципальной услуги.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учреждения обязан: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разъяснение и доведение настоящего Стандарта до всех участников процесса</w:t>
      </w:r>
      <w:r w:rsidR="00E652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спортивной подготовки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организовать внутренний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настоящего Стандарта;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досрочного прекращения либо приостановления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ED2E3F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2.7.1.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Досрочное прекращение оказания муниципальной услуги производится по следующим основаниям: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несоответствие спортивных результатов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подве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домственными Комитету;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реорганизация или ликвидация учреждения, осуществляющего оказание муниципальной услуги;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личному желанию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заявлению родителей (законных представителей)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ухудшения состояния здоровья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наличии медицинского заключения;</w:t>
      </w:r>
    </w:p>
    <w:p w:rsidR="00D2240E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решению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учреждения за совершение противоправных действий, грубые и неоднократные нарушения Устава учреждения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 локальными нормативными актами учреждения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отчислении занимающегося из учреждения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в присутствии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родителей (законных представителей). Отсутствие на заседании совета учреждения без уважительной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причины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его родителей (законных представителей) не лишает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тренерский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учреждения возможности рассмотреть вопрос об исключении;</w:t>
      </w:r>
    </w:p>
    <w:p w:rsidR="00222FBB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невыполнении родителями (законными представителями)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 договора на оказание муниципальной услуги.</w:t>
      </w:r>
    </w:p>
    <w:p w:rsidR="00222FBB" w:rsidRPr="00F0327D" w:rsidRDefault="00ED2E3F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2.7.2.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222FBB" w:rsidRDefault="00B50815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болезни </w:t>
      </w:r>
      <w:proofErr w:type="gramStart"/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proofErr w:type="gramEnd"/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2E3F" w:rsidRDefault="000D2F28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надзорного органа или суда;</w:t>
      </w:r>
    </w:p>
    <w:p w:rsidR="000D2F28" w:rsidRPr="00F0327D" w:rsidRDefault="000D2F28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учредителя.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приостановления оказания муниципальной услуги нет.</w:t>
      </w:r>
    </w:p>
    <w:p w:rsidR="00B34FFD" w:rsidRDefault="00D2240E" w:rsidP="00F831F8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оказания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своение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753BC6" w:rsidRDefault="00D2240E" w:rsidP="00753BC6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Показатели, характеризующие качество муниципальной услуги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3261"/>
        <w:gridCol w:w="2268"/>
      </w:tblGrid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ind w:left="68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Формула</w:t>
            </w: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тренировочный этап (этап спортивной специализации)/Количество занимающихся, прошедших спортивную подготовку на этапе начальной подготовки по факту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зачисленных на этап совершенствования спортивного мастерства/ Количество занимающихся, зачисленных на тренировочный этап (этап спортивной специализации)  x 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зачисленных на этап высшего спортивного мастерства /Количество занимающихся, зачисленных на этап совершенствования спортивного мастерства x 100%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лиц, прошедших спортивную подготовку на этапе начальной подготовки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переведенных внутри этапа спортивной подготовки / Количество занимающихся, прошедших спортивную подготовку на этапе начальной подготовки по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лиц, прошедших спортивную подготовку на тренировочном этапе (этап спортивной специализации)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переведенных внутри этапа спортивной подготовки / Количество занимающихся, зачисленных на тренировочный этап (этап спортивной специализации)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Доля лиц,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/ Количество занимающихся, на этапе совершенствования спортивного мастерства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Количество занимающихся,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</w:tbl>
    <w:p w:rsidR="002E2782" w:rsidRPr="002E2782" w:rsidRDefault="002E2782" w:rsidP="00F831F8">
      <w:pPr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5F3D" w:rsidRPr="00F0327D" w:rsidRDefault="00D2240E" w:rsidP="00B34FFD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информирования потенциальных потребителей муниципальной услуги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801"/>
        <w:gridCol w:w="359"/>
        <w:gridCol w:w="2124"/>
        <w:gridCol w:w="428"/>
      </w:tblGrid>
      <w:tr w:rsidR="00491018" w:rsidRPr="00F0327D" w:rsidTr="00C8113C">
        <w:trPr>
          <w:gridAfter w:val="1"/>
          <w:wAfter w:w="428" w:type="dxa"/>
          <w:trHeight w:val="15"/>
        </w:trPr>
        <w:tc>
          <w:tcPr>
            <w:tcW w:w="3353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2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18" w:rsidRPr="00F0327D" w:rsidTr="00C8113C"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91018" w:rsidRPr="00F0327D" w:rsidTr="00C8113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Размещение информации на официальном информационном </w:t>
            </w:r>
            <w:r w:rsidR="00523D0D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D0D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законом от 07.02.1992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2300-1 «О защите прав потребителей»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</w:tr>
      <w:tr w:rsidR="00491018" w:rsidRPr="00F0327D" w:rsidTr="00C8113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информации на информационных стендах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491018" w:rsidRPr="00F0327D" w:rsidTr="00C8113C">
        <w:tc>
          <w:tcPr>
            <w:tcW w:w="33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Размещение информации на официальном сайте Российской Федерации для размещения информации о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учреждениях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требованием Федерального закона от 12.01.1996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№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7-ФЗ «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неком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пяти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дней, следующих за днем принятия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или внесения изменений в документы</w:t>
            </w:r>
          </w:p>
        </w:tc>
      </w:tr>
      <w:tr w:rsidR="00491018" w:rsidRPr="00F0327D" w:rsidTr="00C8113C">
        <w:tc>
          <w:tcPr>
            <w:tcW w:w="3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035F3D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Размещение информации </w:t>
            </w:r>
            <w:r w:rsidR="00D2240E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91018" w:rsidRPr="00F0327D" w:rsidTr="00C8113C">
        <w:tc>
          <w:tcPr>
            <w:tcW w:w="3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Размещение информации на официальном сайте учреждения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услуги, определяется в соответствии с Федеральным законом от 02.05.2006 </w:t>
      </w:r>
      <w:r w:rsidR="00035F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рассмотрения обращен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граждан Российской Федерации»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оказанием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Внутренний контроль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учреждении должна функционировать система внутреннего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оказания муниципальной услуги.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Внутренний контроль осуществляется руководителем учреждения и его заместителями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локального нормативного акта, который определяет порядок, формы и виды контроля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Внутренний контроль подразделяется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2A782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оперативный контроль (по выявленным проблемным фактам и жалобам, касающимся качества оказания муниципальной услуги);</w:t>
      </w:r>
    </w:p>
    <w:p w:rsidR="00094CCA" w:rsidRPr="00F0327D" w:rsidRDefault="002A782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плановый контроль:</w:t>
      </w:r>
    </w:p>
    <w:p w:rsidR="00094CCA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тематический (контроль по определенной теме или направлению деятельности учреждения);</w:t>
      </w:r>
    </w:p>
    <w:p w:rsidR="00094CCA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комплексный (в том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проверка осуществления деятельности отдельных работников).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Выявленные недостатки по оказанию муниципальной услуги анализируются по каждому работнику учреждения с рассмотрением на 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Внешний контроль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обеспечения качества и доступности оказания муниципальной у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слуги, описываемой в настоящем С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тандарте, достигается посредством реализации контрольных мероприятий.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осуществляется посредством процедур внешнего контроля.</w:t>
      </w:r>
    </w:p>
    <w:p w:rsidR="006E1EF0" w:rsidRDefault="006E1EF0" w:rsidP="00C8113C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5F3D" w:rsidRDefault="00D2240E" w:rsidP="007C50E7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Внешний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по оказанию муниципальной услуги осуществляет 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Комитет.</w:t>
      </w:r>
    </w:p>
    <w:p w:rsidR="006E1EF0" w:rsidRPr="00F0327D" w:rsidRDefault="006E1EF0" w:rsidP="007C50E7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3280"/>
        <w:gridCol w:w="3685"/>
      </w:tblGrid>
      <w:tr w:rsidR="00491018" w:rsidRPr="00F0327D" w:rsidTr="00C8113C">
        <w:trPr>
          <w:trHeight w:val="15"/>
        </w:trPr>
        <w:tc>
          <w:tcPr>
            <w:tcW w:w="2674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18" w:rsidRPr="00F0327D" w:rsidTr="00C8113C"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EB4FA9" w:rsidRPr="002A7828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(основание)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491018" w:rsidRPr="00F0327D" w:rsidTr="00C8113C">
        <w:tc>
          <w:tcPr>
            <w:tcW w:w="2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D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Default="000D2F28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раз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B4FA9" w:rsidRPr="00F0327D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(ежегодный план проверок)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B50815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Комитет</w:t>
            </w:r>
          </w:p>
        </w:tc>
      </w:tr>
      <w:tr w:rsidR="00491018" w:rsidRPr="00F0327D" w:rsidTr="00C8113C">
        <w:tc>
          <w:tcPr>
            <w:tcW w:w="2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0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</w:t>
            </w:r>
            <w:r w:rsidR="0040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EB4FA9" w:rsidRPr="00F0327D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(поступление жалоб, предписаний надзорных организаций и т.д.)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B50815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Комитет </w:t>
            </w:r>
          </w:p>
        </w:tc>
      </w:tr>
    </w:tbl>
    <w:p w:rsidR="002A7828" w:rsidRDefault="002A7828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7828" w:rsidRDefault="002A7828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18F3" w:rsidRPr="00753BC6" w:rsidRDefault="00094CCA" w:rsidP="00753B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E018F3" w:rsidRPr="00735939" w:rsidRDefault="00753BC6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Стандарт </w:t>
      </w:r>
      <w:r w:rsidR="00E018F3"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18F3" w:rsidRPr="00F0327D" w:rsidRDefault="00E018F3" w:rsidP="00C40E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спортивной подготовке по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</w:t>
      </w: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олимпийским видам спорта</w:t>
      </w:r>
    </w:p>
    <w:p w:rsidR="002A7828" w:rsidRDefault="002A7828" w:rsidP="00C40EFF">
      <w:pPr>
        <w:shd w:val="clear" w:color="auto" w:fill="FFFFFF"/>
        <w:spacing w:after="0" w:line="240" w:lineRule="auto"/>
        <w:ind w:left="-851"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2A7828" w:rsidRDefault="00D2240E" w:rsidP="002A7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A78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2A7828" w:rsidRPr="002A7828" w:rsidRDefault="002A7828" w:rsidP="002A7828">
      <w:pPr>
        <w:shd w:val="clear" w:color="auto" w:fill="FFFFFF"/>
        <w:spacing w:after="0" w:line="240" w:lineRule="auto"/>
        <w:ind w:left="-851"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94CCA" w:rsidRPr="00F0327D" w:rsidRDefault="00D2240E" w:rsidP="00F831F8">
      <w:pPr>
        <w:shd w:val="clear" w:color="auto" w:fill="FFFFFF"/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Наименование муниципальной услуги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подготовка по неолимпийским видам спорта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услуга).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Содержание муниципальной услуги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F0327D" w:rsidRPr="00F0327D" w:rsidTr="004D18BF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0327D" w:rsidRPr="00F0327D" w:rsidTr="004D18BF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акробатика, шашки, шахматы, </w:t>
            </w:r>
            <w:proofErr w:type="spellStart"/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каратэ, </w:t>
            </w:r>
            <w:r w:rsidR="00A2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акробатический рок-н-ролл</w:t>
            </w:r>
            <w:r w:rsidR="002A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</w:tbl>
    <w:p w:rsidR="00D2240E" w:rsidRPr="00F0327D" w:rsidRDefault="00D2240E" w:rsidP="00C40EFF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Условия (формы) оказания муниципальной услуги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F0327D" w:rsidRPr="00F0327D" w:rsidTr="004D18BF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0327D" w:rsidRPr="00F0327D" w:rsidTr="004D18BF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  <w:r w:rsidR="005E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этап высшего спортивного мастерства</w:t>
            </w:r>
          </w:p>
        </w:tc>
      </w:tr>
    </w:tbl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Потребители муниципальной услуги и их характеристика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изические лица (граждане Российской Федерации).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Орган, осуществляющий функции и полномочия учредителя, или главный распорядитель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средств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физической культуры и спорта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Одинцовского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Наименования муниципальных учреждений (групп учреждений), ок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азывающих муниципальную услугу: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учреждени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физической культуры и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спорта подведомственные Комитету (далее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Сведения о 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потребителей 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услуг: 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для потребителей бесплатно в рамках муниципального задания.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Правовые акты, регламентирующие оказание муниципальной услуги: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Конвенция о правах ребенка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 Российской Федерации от 07.02.1992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2300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«О защите прав потребителей»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12.01.1996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7-ФЗ «О некоммерческих организациях»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124-Ф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основных гарантиях прав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ребенка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24.06.1999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120-ФЗ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системы профилактики безнадзорности и пра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вонарушений несовершеннолетних»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64B0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A22D9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02.05.2006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="00A22D9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рассмотрения обращений граждан Российской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Федерации»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64B0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9) 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 от 03.11.2006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«Об автономных учреждениях»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04.12.2007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физической культуре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спорте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 Правительства Российской Федерации от 25.04.2012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противопожарном режи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31F8" w:rsidRPr="00BD2694" w:rsidRDefault="00F831F8" w:rsidP="00F831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12) 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здравоо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хранения РФ от 1 марта 2016 г. №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 134н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выполнить нормативы испытаний (тестов) Всероссийского физк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ультурно-спортивного комплекса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приема лиц в физкультурно-спортивные организации, созданные Российской Федерацией и осуще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ствляющие спортивную подготовку»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27.12.2013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1125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 физической культуры и спорта»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30.10.2015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999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требований к обеспечению подготовки спортивного резерва для спортивных сборных команд Российской Фе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дерации»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E546B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687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«акробатический рок-н-ролл»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E546B" w:rsidRPr="00F0327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30.12.2016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1362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тайский бокс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4CCA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 Российской Федерации от 30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.12.2014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1105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ак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робатика»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4CCA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12.10.2015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930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дготовки по виду спорта шахматы»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237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всестилевое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каратэ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B77FD" w:rsidRDefault="00C06E6F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30.12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1365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шашки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E14CC0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Типовые требования </w:t>
      </w:r>
      <w:r w:rsidR="00E14CC0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Федерации от 11.04.2014 № 230;</w:t>
      </w:r>
    </w:p>
    <w:p w:rsidR="007B77FD" w:rsidRDefault="007B77FD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16.02.2015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138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180401" w:rsidRDefault="00180401" w:rsidP="007B77FD">
      <w:pPr>
        <w:shd w:val="clear" w:color="auto" w:fill="FFFFFF"/>
        <w:spacing w:after="0" w:line="240" w:lineRule="auto"/>
        <w:ind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7B77FD" w:rsidRDefault="00D2240E" w:rsidP="007B77F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B77F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оказанию муниципальной услуги</w:t>
      </w:r>
    </w:p>
    <w:p w:rsidR="007B77FD" w:rsidRPr="007B77FD" w:rsidRDefault="007B77FD" w:rsidP="007B77FD">
      <w:pPr>
        <w:shd w:val="clear" w:color="auto" w:fill="FFFFFF"/>
        <w:spacing w:after="0" w:line="240" w:lineRule="auto"/>
        <w:ind w:left="-851"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получения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Порядок принятия заяв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потребителя муниципальной услуги (заявителя)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AF6A74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учреждения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письменному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поступающих, а в случае если они несовершеннолетние, то по письменному заявлению их законных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(далее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о приеме) путем личной передачи заявления о приеме в приемную комиссию учреждения,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которой утверждается приказом руководителя учреждения.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Сроки приема заявлений, а также сроки дополнительного набора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занимающихся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устанавливаются локальным нормативным актом учреждения.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 приеме могут подаваться одновременно в несколько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фамилия, имя и отчество (при наличии)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и место рождения поступающего;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номера телефонов поступающего или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 (при наличии);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сведения о гражданстве поступающего (при наличии);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места жительства поступающего.</w:t>
      </w:r>
    </w:p>
    <w:p w:rsidR="007B77F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фиксируются факт ознакомления поступающего или законных представителей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поступающего с уставом физкультурно-спортивной организац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локальными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актами, а также согласие на участие в процедуре индив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идуального отбора поступающего. </w:t>
      </w:r>
    </w:p>
    <w:p w:rsidR="00F52191" w:rsidRPr="00AF6A74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медицинской организации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отсутствии у поступающего медицинских противопоказаний для освоения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программы спортивной подготовки;</w:t>
      </w:r>
      <w:proofErr w:type="gramEnd"/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фотографии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количестве и формате, установленном физкультурно-спортивной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Рассмотрение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рассматривается приемной комиссией учреждения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Порядок принятия решения об удовлетворении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в учреждение осуществляется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наличии свободных мест 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результатов индивидуального отбора потребителей муниципальной услуги,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 (далее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индивидуальный отбор)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Основания для отказа в оказании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потребителя муниципальной услуги возрастному ограничению на прием в учреждение;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не соответствующих требованиям, указанным в пункте 2.1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отрицательный результат индивидуального отбора;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медицинских противопоказаний для занятий выбранным видом спорта;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свободных мест в учреждении.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Очередность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оказания муниципальной услуги: 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униципальная услуга оказывается в соответствии с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пофамильным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списком-рейтингом потребителей муниципальной услуги, сформированным по результатам индивидуального отбора.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Информирование потребителя муниципальной услуги (заявителя) о принятом решении: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пофамильного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локальным нормативным актом учреждения.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Особенности принятия решений об оказании муниципальной услуг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отдельным категориям граждан: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собенности принятия решений об оказании муниципальной услуги отдельным категориям граждан отсутствуют.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оказания муниципальной услуги: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Срок непосредственного оказания муниципальной услуги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Требования к муниципальным учреждениям, оказывающим муниципальную услугу: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Документы, в соответствии с которыми функционирует муниципальное учреждение: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 учреждения;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постановке на учет юридического лица в налоговом органе по месту нахождения на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proofErr w:type="gramEnd"/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внесении записи в Единый государ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ственный реестр юридических лиц;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государ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регистрации учреждения;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Локальные нормативные акты учреждения, разработанные в соответствии с действующим законодательством.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Режим работы учреждения: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работы учреждения определяется локальным нормативным актом учреждения.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Условия размещения муниципального учреждения: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Федерации от 25.04.2012 № 390, типовым требованиям </w:t>
      </w:r>
      <w:r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Российской Федерации от 11.04.2014 № 230, ФССП по видам спорта утвержденным приказами Министерства спорта Российской Федерации.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Материально-техническое обеспечение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Специальное оборудование, приборы и аппаратура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должны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оваться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строго по назначению в соответствии с эксплуатационными документами, содержат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в технически исправном состоянии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систематически проверя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 Кадровое обеспечение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Учреждение должно располагать необходимым числом специалистов в соответствии со штатным расписанием.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Подбор персонала в учреждени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осуществляться в соответствии с действующим законодательством в Российской Федерации.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Должностные лица в муниципальном учреждении, ответственные за оказание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оказываемой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учреждения обязан: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разъяснение и доведение настоящего Стандарта до всех участников процесса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спортивной подготовки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организовать внутренний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досрочного прекращения либо приостановления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2.7.1.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Досрочное прекращение оказания муниципальной услуги производится по следующим основаниям: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несоответствие спортивных результатов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подве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домственными Комитету;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реорганизация или ликвидация учреждения, осуществляющего оказание муниципальной услуги;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личному желанию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заявлению родителей (законных представителей)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ухудшения состояния здоровья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наличии медицинского заключения;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учреждения за совершение противоправных действий, грубые и неоднократные нарушения Устава учреждения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 локальными нормативными актами учреждения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отчислении занимающегося из учреждения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в присутствии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родителей (законных представителей). Отсутствие на заседании совета учреждения без уважительной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причины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его родителей (законных представителей) не лишает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тренерский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учреждения возможности рассмотреть вопрос об исключении;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невыполнении родителями (законными представителями)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 договора на оказание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2.7.2.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болезни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надзорного органа или суда;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учредителя.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приостановления оказания муниципальной услуги нет.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оказания муниципальной услуги: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F52191" w:rsidRDefault="00F52191" w:rsidP="00753BC6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Показатели, характеризующие качество муниципальной услуги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3261"/>
        <w:gridCol w:w="2268"/>
      </w:tblGrid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68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Формула</w:t>
            </w: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тренировочный этап (этап спортивной специализации)/Количество занимающихся, прошедших спортивную подготовку на этапе начальной подготовки по факту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этап совершенствования спортивного мастерства/ Количество занимающихся, зачисленных на тренировочный этап (этап спортивной специализации) 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зачисленных на этап высшего спортивного мастерства /Количество занимающихся, зачисленных на этап совершенствования спортивного 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мастерства x 100%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Доля лиц, прошедших спортивную подготовку на этапе начальной подготовки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переведенных внутри этапа спортивной подготовки / Количество занимающихся, прошедших спортивную подготовку на этапе начальной подготовки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Доля лиц, прошедших спортивную подготовку на тренировочном этапе (этап спортивной специализации)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переведенных внутри этапа спортивной подготовки / Количество занимающихся, зачисленных на тренировочный этап (этап спортивной специализации)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Доля лиц,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/ Количество занимающихся, на этапе совершенствования спортивного мастерства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Количество занимающихся,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</w:tbl>
    <w:p w:rsidR="00F52191" w:rsidRPr="002E2782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52191" w:rsidRPr="00F0327D" w:rsidRDefault="00F52191" w:rsidP="007B77FD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информирования потенциальных потребителей муниципальной услуги</w:t>
      </w: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353"/>
        <w:gridCol w:w="3801"/>
        <w:gridCol w:w="359"/>
        <w:gridCol w:w="2124"/>
        <w:gridCol w:w="428"/>
      </w:tblGrid>
      <w:tr w:rsidR="00F52191" w:rsidRPr="00F0327D" w:rsidTr="00C40EFF">
        <w:trPr>
          <w:gridBefore w:val="1"/>
          <w:gridAfter w:val="1"/>
          <w:wBefore w:w="284" w:type="dxa"/>
          <w:wAfter w:w="428" w:type="dxa"/>
          <w:trHeight w:val="15"/>
        </w:trPr>
        <w:tc>
          <w:tcPr>
            <w:tcW w:w="3353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2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91" w:rsidRPr="00F0327D" w:rsidTr="00C40EFF"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F52191" w:rsidRPr="00F0327D" w:rsidTr="00C40EFF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Размещение информации на официальном информационном сайте Одинцовского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законом от 07.02.1992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C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2300-1 «О защите прав потребителей»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</w:tr>
      <w:tr w:rsidR="00F52191" w:rsidRPr="00F0327D" w:rsidTr="00753BC6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информации на информационных стендах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F52191" w:rsidRPr="00F0327D" w:rsidTr="00753BC6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требованием Федерального закона от 12.01.1996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№</w:t>
            </w:r>
            <w:r w:rsidR="00C81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7-ФЗ «О некоммерческих организациях»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дней, следующих за днем принятия документов или внесения изменений в документы</w:t>
            </w:r>
          </w:p>
        </w:tc>
      </w:tr>
      <w:tr w:rsidR="00F52191" w:rsidRPr="00F0327D" w:rsidTr="007C50E7">
        <w:tc>
          <w:tcPr>
            <w:tcW w:w="36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Размещение информации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52191" w:rsidRPr="00F0327D" w:rsidTr="007C50E7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Размещение информации на официальном сайте учреждения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местонахождение учреждения, информация о режиме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</w:tr>
    </w:tbl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услуги, определяется в соответствии с Федеральным законом от 02.05.2006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рассмотрения обращений гражда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 Российской Федерации»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оказанием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Внутренний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учреждении должна функционировать система внутреннего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оказания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Внутренний контроль осуществляется руководителем учреждения и его заместителями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локального нормативного акта, который определяет порядок, формы и виды контроля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Внутренний контроль подразделяется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плановый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тематический (контроль по определенной теме или направлению деятельности учреждения);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комплексный (в том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проверка осуществления деятельности отдельных работников).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недостатки по оказанию муниципальной услуги анализируются по каждому работнику учреждения с рассмотрением на тренерском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Внешний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осуществляется посредством процедур внешнего контроля.</w:t>
      </w:r>
    </w:p>
    <w:p w:rsidR="006E1EF0" w:rsidRPr="00F0327D" w:rsidRDefault="00F52191" w:rsidP="005D65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Внешний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по оказанию муниципальной услуги </w:t>
      </w:r>
      <w:r w:rsidR="005D65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Комитет.</w:t>
      </w: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280"/>
        <w:gridCol w:w="3685"/>
      </w:tblGrid>
      <w:tr w:rsidR="00F52191" w:rsidRPr="00F0327D" w:rsidTr="00C40EFF">
        <w:trPr>
          <w:trHeight w:val="15"/>
        </w:trPr>
        <w:tc>
          <w:tcPr>
            <w:tcW w:w="2958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91" w:rsidRPr="00F0327D" w:rsidTr="00C40EFF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(основание)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F52191" w:rsidRPr="00F0327D" w:rsidTr="00C40EFF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раз в 3 года</w:t>
            </w:r>
          </w:p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(ежегодный план проверок)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Комитет</w:t>
            </w:r>
          </w:p>
        </w:tc>
      </w:tr>
      <w:tr w:rsidR="00F52191" w:rsidRPr="00F0327D" w:rsidTr="00C40EFF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(поступление жалоб, предписаний надзорных организаций и т.</w:t>
            </w:r>
            <w:r w:rsidR="007B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Комитет </w:t>
            </w:r>
          </w:p>
        </w:tc>
      </w:tr>
    </w:tbl>
    <w:p w:rsidR="00361307" w:rsidRDefault="00361307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7FD" w:rsidRDefault="007B77FD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2191" w:rsidRPr="005D65FF" w:rsidRDefault="00F52191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  <w:lang w:eastAsia="ru-RU"/>
        </w:rPr>
      </w:pPr>
      <w:r w:rsidRPr="005D65FF"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  <w:lang w:eastAsia="ru-RU"/>
        </w:rPr>
        <w:t xml:space="preserve">Председатель Комитета                                                     </w:t>
      </w:r>
      <w:r w:rsidR="007B77FD" w:rsidRPr="005D65FF"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  <w:lang w:eastAsia="ru-RU"/>
        </w:rPr>
        <w:t xml:space="preserve">              </w:t>
      </w:r>
      <w:r w:rsidRPr="005D65FF"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  <w:lang w:eastAsia="ru-RU"/>
        </w:rPr>
        <w:t xml:space="preserve">                         А.Ю. Олянич</w:t>
      </w:r>
    </w:p>
    <w:p w:rsidR="00417E77" w:rsidRPr="00F0327D" w:rsidRDefault="00417E77" w:rsidP="00C4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E77" w:rsidRPr="00F0327D" w:rsidSect="005D65FF">
      <w:head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C8" w:rsidRDefault="006832C8" w:rsidP="006E1EF0">
      <w:pPr>
        <w:spacing w:after="0" w:line="240" w:lineRule="auto"/>
      </w:pPr>
      <w:r>
        <w:separator/>
      </w:r>
    </w:p>
  </w:endnote>
  <w:endnote w:type="continuationSeparator" w:id="0">
    <w:p w:rsidR="006832C8" w:rsidRDefault="006832C8" w:rsidP="006E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C8" w:rsidRDefault="006832C8" w:rsidP="006E1EF0">
      <w:pPr>
        <w:spacing w:after="0" w:line="240" w:lineRule="auto"/>
      </w:pPr>
      <w:r>
        <w:separator/>
      </w:r>
    </w:p>
  </w:footnote>
  <w:footnote w:type="continuationSeparator" w:id="0">
    <w:p w:rsidR="006832C8" w:rsidRDefault="006832C8" w:rsidP="006E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68634"/>
      <w:docPartObj>
        <w:docPartGallery w:val="Page Numbers (Top of Page)"/>
        <w:docPartUnique/>
      </w:docPartObj>
    </w:sdtPr>
    <w:sdtContent>
      <w:p w:rsidR="00AF03DD" w:rsidRDefault="00AF03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38">
          <w:rPr>
            <w:noProof/>
          </w:rPr>
          <w:t>16</w:t>
        </w:r>
        <w:r>
          <w:fldChar w:fldCharType="end"/>
        </w:r>
      </w:p>
    </w:sdtContent>
  </w:sdt>
  <w:p w:rsidR="00AF03DD" w:rsidRDefault="00AF0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01"/>
    <w:multiLevelType w:val="hybridMultilevel"/>
    <w:tmpl w:val="12F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7C1"/>
    <w:multiLevelType w:val="hybridMultilevel"/>
    <w:tmpl w:val="AFD4DC66"/>
    <w:lvl w:ilvl="0" w:tplc="F6DC1B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9"/>
    <w:rsid w:val="00035F3D"/>
    <w:rsid w:val="00094490"/>
    <w:rsid w:val="00094CCA"/>
    <w:rsid w:val="000C45EA"/>
    <w:rsid w:val="000D2F28"/>
    <w:rsid w:val="000F1AEC"/>
    <w:rsid w:val="0015506F"/>
    <w:rsid w:val="00180401"/>
    <w:rsid w:val="001A1038"/>
    <w:rsid w:val="00222FBB"/>
    <w:rsid w:val="002810E2"/>
    <w:rsid w:val="002908A2"/>
    <w:rsid w:val="002A7828"/>
    <w:rsid w:val="002E2782"/>
    <w:rsid w:val="00343DDB"/>
    <w:rsid w:val="003502ED"/>
    <w:rsid w:val="00361307"/>
    <w:rsid w:val="00364B44"/>
    <w:rsid w:val="00370244"/>
    <w:rsid w:val="00373925"/>
    <w:rsid w:val="00380C49"/>
    <w:rsid w:val="003A35D0"/>
    <w:rsid w:val="00403225"/>
    <w:rsid w:val="00404C32"/>
    <w:rsid w:val="00417E77"/>
    <w:rsid w:val="00450FA4"/>
    <w:rsid w:val="00491018"/>
    <w:rsid w:val="004A246F"/>
    <w:rsid w:val="004D18BF"/>
    <w:rsid w:val="004F53D2"/>
    <w:rsid w:val="004F5BBE"/>
    <w:rsid w:val="00517855"/>
    <w:rsid w:val="00523D0D"/>
    <w:rsid w:val="00585109"/>
    <w:rsid w:val="0059527F"/>
    <w:rsid w:val="005A0150"/>
    <w:rsid w:val="005D3CA5"/>
    <w:rsid w:val="005D65FF"/>
    <w:rsid w:val="005E32C7"/>
    <w:rsid w:val="005E546B"/>
    <w:rsid w:val="005F2BE3"/>
    <w:rsid w:val="006832C8"/>
    <w:rsid w:val="0069441D"/>
    <w:rsid w:val="006B5B2A"/>
    <w:rsid w:val="006E1EF0"/>
    <w:rsid w:val="006F742C"/>
    <w:rsid w:val="00707D92"/>
    <w:rsid w:val="00720003"/>
    <w:rsid w:val="007221C7"/>
    <w:rsid w:val="00723C6F"/>
    <w:rsid w:val="00735939"/>
    <w:rsid w:val="0074085B"/>
    <w:rsid w:val="007469A0"/>
    <w:rsid w:val="007532D3"/>
    <w:rsid w:val="00753BC6"/>
    <w:rsid w:val="007B77FD"/>
    <w:rsid w:val="007C50E7"/>
    <w:rsid w:val="00807608"/>
    <w:rsid w:val="00884E27"/>
    <w:rsid w:val="008C7CEB"/>
    <w:rsid w:val="008E05E4"/>
    <w:rsid w:val="008F3C7E"/>
    <w:rsid w:val="00941A39"/>
    <w:rsid w:val="0095060C"/>
    <w:rsid w:val="00974196"/>
    <w:rsid w:val="00991FEC"/>
    <w:rsid w:val="009A5864"/>
    <w:rsid w:val="009B696A"/>
    <w:rsid w:val="009C0ADE"/>
    <w:rsid w:val="00A22D9B"/>
    <w:rsid w:val="00A60FE7"/>
    <w:rsid w:val="00A64B00"/>
    <w:rsid w:val="00A679D3"/>
    <w:rsid w:val="00A81F9A"/>
    <w:rsid w:val="00AB56CE"/>
    <w:rsid w:val="00AD2025"/>
    <w:rsid w:val="00AF03DD"/>
    <w:rsid w:val="00AF6A74"/>
    <w:rsid w:val="00B34FFD"/>
    <w:rsid w:val="00B50815"/>
    <w:rsid w:val="00B776F2"/>
    <w:rsid w:val="00B820BF"/>
    <w:rsid w:val="00B8360C"/>
    <w:rsid w:val="00BD2694"/>
    <w:rsid w:val="00BD66D6"/>
    <w:rsid w:val="00C05390"/>
    <w:rsid w:val="00C06E6F"/>
    <w:rsid w:val="00C40EFF"/>
    <w:rsid w:val="00C52E59"/>
    <w:rsid w:val="00C8113C"/>
    <w:rsid w:val="00C81CC8"/>
    <w:rsid w:val="00CD671E"/>
    <w:rsid w:val="00D2240E"/>
    <w:rsid w:val="00D61EAF"/>
    <w:rsid w:val="00DE1CEC"/>
    <w:rsid w:val="00E018F3"/>
    <w:rsid w:val="00E14CC0"/>
    <w:rsid w:val="00E652C9"/>
    <w:rsid w:val="00E765EC"/>
    <w:rsid w:val="00E94C2F"/>
    <w:rsid w:val="00EA453C"/>
    <w:rsid w:val="00EB4FA9"/>
    <w:rsid w:val="00ED2E3F"/>
    <w:rsid w:val="00F0327D"/>
    <w:rsid w:val="00F52191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40E"/>
  </w:style>
  <w:style w:type="character" w:styleId="a3">
    <w:name w:val="Hyperlink"/>
    <w:basedOn w:val="a0"/>
    <w:uiPriority w:val="99"/>
    <w:semiHidden/>
    <w:unhideWhenUsed/>
    <w:rsid w:val="00D22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40E"/>
    <w:rPr>
      <w:color w:val="800080"/>
      <w:u w:val="single"/>
    </w:rPr>
  </w:style>
  <w:style w:type="paragraph" w:customStyle="1" w:styleId="unformattext">
    <w:name w:val="un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E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EF0"/>
  </w:style>
  <w:style w:type="paragraph" w:styleId="ab">
    <w:name w:val="footer"/>
    <w:basedOn w:val="a"/>
    <w:link w:val="ac"/>
    <w:uiPriority w:val="99"/>
    <w:unhideWhenUsed/>
    <w:rsid w:val="006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EF0"/>
  </w:style>
  <w:style w:type="character" w:styleId="ad">
    <w:name w:val="Emphasis"/>
    <w:basedOn w:val="a0"/>
    <w:uiPriority w:val="20"/>
    <w:qFormat/>
    <w:rsid w:val="00C52E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40E"/>
  </w:style>
  <w:style w:type="character" w:styleId="a3">
    <w:name w:val="Hyperlink"/>
    <w:basedOn w:val="a0"/>
    <w:uiPriority w:val="99"/>
    <w:semiHidden/>
    <w:unhideWhenUsed/>
    <w:rsid w:val="00D22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40E"/>
    <w:rPr>
      <w:color w:val="800080"/>
      <w:u w:val="single"/>
    </w:rPr>
  </w:style>
  <w:style w:type="paragraph" w:customStyle="1" w:styleId="unformattext">
    <w:name w:val="un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E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EF0"/>
  </w:style>
  <w:style w:type="paragraph" w:styleId="ab">
    <w:name w:val="footer"/>
    <w:basedOn w:val="a"/>
    <w:link w:val="ac"/>
    <w:uiPriority w:val="99"/>
    <w:unhideWhenUsed/>
    <w:rsid w:val="006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EF0"/>
  </w:style>
  <w:style w:type="character" w:styleId="ad">
    <w:name w:val="Emphasis"/>
    <w:basedOn w:val="a0"/>
    <w:uiPriority w:val="20"/>
    <w:qFormat/>
    <w:rsid w:val="00C52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675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7714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9878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6349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50154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4576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0468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9399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7351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70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5480-1789-49F8-A648-B0B1FA3A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user</cp:lastModifiedBy>
  <cp:revision>26</cp:revision>
  <cp:lastPrinted>2021-02-02T11:23:00Z</cp:lastPrinted>
  <dcterms:created xsi:type="dcterms:W3CDTF">2020-03-20T07:59:00Z</dcterms:created>
  <dcterms:modified xsi:type="dcterms:W3CDTF">2021-02-02T11:28:00Z</dcterms:modified>
</cp:coreProperties>
</file>