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DF5061">
        <w:rPr>
          <w:rFonts w:ascii="Times New Roman" w:hAnsi="Times New Roman" w:cs="Times New Roman"/>
        </w:rPr>
        <w:t>4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павильон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общественное питание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F764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пос. Новый Городок, около «Военторга 23»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6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6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01.06</w:t>
      </w:r>
      <w:bookmarkStart w:id="0" w:name="_GoBack"/>
      <w:bookmarkEnd w:id="0"/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 xml:space="preserve">на  заключение договора на право размещения специализированного </w:t>
      </w:r>
      <w:r w:rsidR="0030395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F7643">
        <w:rPr>
          <w:rFonts w:ascii="Times New Roman" w:hAnsi="Times New Roman"/>
          <w:color w:val="000000" w:themeColor="text1"/>
          <w:sz w:val="28"/>
          <w:szCs w:val="28"/>
          <w:u w:val="single"/>
        </w:rPr>
        <w:t>пос. Новый Городок, около «Военторга 23»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EF7643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7643">
        <w:rPr>
          <w:rFonts w:ascii="Times New Roman" w:hAnsi="Times New Roman"/>
          <w:sz w:val="28"/>
          <w:szCs w:val="28"/>
          <w:u w:val="single"/>
          <w:lang w:eastAsia="ru-RU"/>
        </w:rPr>
        <w:t>общественное питание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440D1"/>
    <w:rsid w:val="0016629B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515D7C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514A6"/>
    <w:rsid w:val="00696B83"/>
    <w:rsid w:val="00722FC8"/>
    <w:rsid w:val="0077564B"/>
    <w:rsid w:val="007777A5"/>
    <w:rsid w:val="007A76FF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167E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5061"/>
    <w:rsid w:val="00DF7AD8"/>
    <w:rsid w:val="00E0065C"/>
    <w:rsid w:val="00E03309"/>
    <w:rsid w:val="00E23562"/>
    <w:rsid w:val="00E2450D"/>
    <w:rsid w:val="00E27A27"/>
    <w:rsid w:val="00EC7215"/>
    <w:rsid w:val="00EF7643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373D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D71B-847E-4C46-9F07-BFC7662A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32</cp:revision>
  <cp:lastPrinted>2021-04-12T09:50:00Z</cp:lastPrinted>
  <dcterms:created xsi:type="dcterms:W3CDTF">2020-01-09T15:03:00Z</dcterms:created>
  <dcterms:modified xsi:type="dcterms:W3CDTF">2021-04-12T09:50:00Z</dcterms:modified>
</cp:coreProperties>
</file>