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116711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C300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объект мобильной торговли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0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продукция животного происхождения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0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0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0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C300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                         посёлок санатория им. Герцена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4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25.05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C300CF">
        <w:rPr>
          <w:rFonts w:ascii="Times New Roman" w:hAnsi="Times New Roman"/>
          <w:color w:val="000000" w:themeColor="text1"/>
          <w:sz w:val="28"/>
          <w:szCs w:val="28"/>
          <w:u w:val="single"/>
        </w:rPr>
        <w:t>Одинцовский городской округ,                                                   посёлок санатория им. Герцена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982AD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C300CF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0CF">
        <w:rPr>
          <w:rFonts w:ascii="Times New Roman" w:hAnsi="Times New Roman"/>
          <w:sz w:val="28"/>
          <w:szCs w:val="28"/>
          <w:u w:val="single"/>
          <w:lang w:eastAsia="ru-RU"/>
        </w:rPr>
        <w:t>продукция животного происхождения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16711"/>
    <w:rsid w:val="0016629B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51636C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254EB"/>
    <w:rsid w:val="006514A6"/>
    <w:rsid w:val="00696B83"/>
    <w:rsid w:val="00722FC8"/>
    <w:rsid w:val="0077564B"/>
    <w:rsid w:val="007777A5"/>
    <w:rsid w:val="007A76FF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300CF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74A04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6C91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6831-2570-41A6-B111-F8C00F03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30</cp:revision>
  <cp:lastPrinted>2021-03-31T11:39:00Z</cp:lastPrinted>
  <dcterms:created xsi:type="dcterms:W3CDTF">2020-01-09T15:03:00Z</dcterms:created>
  <dcterms:modified xsi:type="dcterms:W3CDTF">2021-03-31T13:26:00Z</dcterms:modified>
</cp:coreProperties>
</file>