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E66FA1">
        <w:rPr>
          <w:rFonts w:ascii="Times New Roman" w:hAnsi="Times New Roman" w:cs="Times New Roman"/>
        </w:rPr>
        <w:t>13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E66FA1">
        <w:rPr>
          <w:rFonts w:ascii="Times New Roman" w:hAnsi="Times New Roman" w:cs="Times New Roman"/>
        </w:rPr>
        <w:t>11</w:t>
      </w:r>
    </w:p>
    <w:p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изотермическая емкость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0C720E">
        <w:rPr>
          <w:rFonts w:ascii="Times New Roman" w:eastAsia="Times New Roman" w:hAnsi="Times New Roman"/>
          <w:b/>
          <w:sz w:val="28"/>
          <w:szCs w:val="28"/>
          <w:lang w:eastAsia="ru-RU"/>
        </w:rPr>
        <w:t>воскресенье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по адресному ориентиру в  соответствии со  Схемой  размещения  нестациона</w:t>
      </w:r>
      <w:bookmarkStart w:id="0" w:name="_GoBack"/>
      <w:bookmarkEnd w:id="0"/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66FA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р.п. Большие Вяземы, ул. Институт,  около д. 1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B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20.07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» марта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:rsidTr="0025023E">
        <w:tc>
          <w:tcPr>
            <w:tcW w:w="4689" w:type="dxa"/>
          </w:tcPr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86F761" wp14:editId="56CD396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86F7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:rsidTr="0025023E">
                              <w:tc>
                                <w:tcPr>
                                  <w:tcW w:w="4786" w:type="dxa"/>
                                </w:tcPr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:rsidTr="0025023E">
        <w:trPr>
          <w:trHeight w:val="80"/>
        </w:trPr>
        <w:tc>
          <w:tcPr>
            <w:tcW w:w="4689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66FA1">
        <w:rPr>
          <w:rFonts w:ascii="Times New Roman" w:hAnsi="Times New Roman"/>
          <w:color w:val="000000" w:themeColor="text1"/>
          <w:sz w:val="28"/>
          <w:szCs w:val="28"/>
          <w:u w:val="single"/>
        </w:rPr>
        <w:t>р.п. Большие Вяземы, ул. Институт, около д. 1</w:t>
      </w:r>
    </w:p>
    <w:p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</w:p>
    <w:p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11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 xml:space="preserve"> 11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:rsidTr="005D2277">
              <w:trPr>
                <w:trHeight w:val="2549"/>
              </w:trPr>
              <w:tc>
                <w:tcPr>
                  <w:tcW w:w="4128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C720E"/>
    <w:rsid w:val="000F474D"/>
    <w:rsid w:val="0016629B"/>
    <w:rsid w:val="00174620"/>
    <w:rsid w:val="001C36F7"/>
    <w:rsid w:val="0021570A"/>
    <w:rsid w:val="0025023E"/>
    <w:rsid w:val="00273CDF"/>
    <w:rsid w:val="00285CAD"/>
    <w:rsid w:val="00291571"/>
    <w:rsid w:val="00295099"/>
    <w:rsid w:val="002A04F9"/>
    <w:rsid w:val="00303957"/>
    <w:rsid w:val="00321F42"/>
    <w:rsid w:val="00326388"/>
    <w:rsid w:val="003733CD"/>
    <w:rsid w:val="0039704F"/>
    <w:rsid w:val="003A15F3"/>
    <w:rsid w:val="003A79CF"/>
    <w:rsid w:val="00450C65"/>
    <w:rsid w:val="004604AB"/>
    <w:rsid w:val="00494F9B"/>
    <w:rsid w:val="004A5E4E"/>
    <w:rsid w:val="004B1632"/>
    <w:rsid w:val="004B1EF3"/>
    <w:rsid w:val="00527941"/>
    <w:rsid w:val="00535D98"/>
    <w:rsid w:val="00542A63"/>
    <w:rsid w:val="00543D9A"/>
    <w:rsid w:val="005516CD"/>
    <w:rsid w:val="0056221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20B66"/>
    <w:rsid w:val="00A30E04"/>
    <w:rsid w:val="00A37609"/>
    <w:rsid w:val="00A4099F"/>
    <w:rsid w:val="00A73CCB"/>
    <w:rsid w:val="00A766B9"/>
    <w:rsid w:val="00A874F8"/>
    <w:rsid w:val="00AD0CCB"/>
    <w:rsid w:val="00B138DA"/>
    <w:rsid w:val="00B467D7"/>
    <w:rsid w:val="00B51082"/>
    <w:rsid w:val="00B87C93"/>
    <w:rsid w:val="00B90FFB"/>
    <w:rsid w:val="00B92A9F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66FA1"/>
    <w:rsid w:val="00F531D0"/>
    <w:rsid w:val="00F704D6"/>
    <w:rsid w:val="00F95637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E06B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D6C5-CF15-4CA6-BB0F-0DE6B75D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2703</Words>
  <Characters>15410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6</cp:revision>
  <cp:lastPrinted>2021-04-12T09:45:00Z</cp:lastPrinted>
  <dcterms:created xsi:type="dcterms:W3CDTF">2021-05-28T11:59:00Z</dcterms:created>
  <dcterms:modified xsi:type="dcterms:W3CDTF">2021-05-31T08:26:00Z</dcterms:modified>
</cp:coreProperties>
</file>