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A45" w14:textId="29DFCDC4" w:rsidR="0021770C" w:rsidRPr="00E30DE7" w:rsidRDefault="00DD0113" w:rsidP="00DD01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8CF38FA" w14:textId="77777777" w:rsidR="00B53539" w:rsidRPr="00E30DE7" w:rsidRDefault="00B53539" w:rsidP="00F7073E">
      <w:pPr>
        <w:rPr>
          <w:sz w:val="28"/>
          <w:szCs w:val="28"/>
        </w:rPr>
      </w:pPr>
    </w:p>
    <w:p w14:paraId="60C9957A" w14:textId="77777777" w:rsidR="0009494E" w:rsidRPr="00E30DE7" w:rsidRDefault="0009494E" w:rsidP="00F7073E">
      <w:pPr>
        <w:rPr>
          <w:sz w:val="28"/>
          <w:szCs w:val="28"/>
        </w:rPr>
      </w:pPr>
    </w:p>
    <w:p w14:paraId="30784E2D" w14:textId="77777777" w:rsidR="00786F01" w:rsidRPr="00E30DE7" w:rsidRDefault="00786F01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7D6BEA0B" w:rsidR="00CE3A95" w:rsidRDefault="00CE3A95" w:rsidP="00F7073E">
      <w:pPr>
        <w:rPr>
          <w:sz w:val="28"/>
          <w:szCs w:val="28"/>
        </w:rPr>
      </w:pPr>
    </w:p>
    <w:p w14:paraId="07010349" w14:textId="7E3AE18B" w:rsidR="00CE0855" w:rsidRDefault="00CE0855" w:rsidP="00CF0E8C">
      <w:pPr>
        <w:rPr>
          <w:sz w:val="28"/>
          <w:szCs w:val="28"/>
        </w:rPr>
      </w:pPr>
    </w:p>
    <w:p w14:paraId="4F5C1B75" w14:textId="0725DCBF" w:rsidR="00D51C9B" w:rsidRDefault="00D51C9B" w:rsidP="00CF0E8C">
      <w:pPr>
        <w:rPr>
          <w:sz w:val="28"/>
          <w:szCs w:val="28"/>
        </w:rPr>
      </w:pPr>
    </w:p>
    <w:p w14:paraId="52923785" w14:textId="77777777" w:rsidR="003C6F6F" w:rsidRDefault="003C6F6F" w:rsidP="00CF0E8C">
      <w:pPr>
        <w:rPr>
          <w:sz w:val="28"/>
          <w:szCs w:val="28"/>
        </w:rPr>
      </w:pPr>
    </w:p>
    <w:p w14:paraId="0B4CA4AC" w14:textId="77777777" w:rsidR="004E2AB9" w:rsidRPr="00E30DE7" w:rsidRDefault="004E2AB9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Default="007B559F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  <w:p w14:paraId="6F6C23C4" w14:textId="15DBF62A" w:rsidR="002230B5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28261D5F" w:rsidR="00281428" w:rsidRPr="00E30DE7" w:rsidRDefault="00984C36" w:rsidP="004E2AB9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4F817E26" w14:textId="77777777" w:rsidR="00C979E5" w:rsidRPr="00E30DE7" w:rsidRDefault="00C979E5" w:rsidP="00AC155C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35D15431" w14:textId="0361804A" w:rsidR="00C979E5" w:rsidRPr="00633ECF" w:rsidRDefault="00C979E5" w:rsidP="00633ECF">
      <w:pPr>
        <w:spacing w:line="276" w:lineRule="auto"/>
        <w:ind w:firstLine="708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E4787B">
        <w:rPr>
          <w:sz w:val="28"/>
          <w:szCs w:val="28"/>
        </w:rPr>
        <w:t xml:space="preserve"> </w:t>
      </w:r>
      <w:r w:rsidR="005C77F5" w:rsidRPr="00324A12">
        <w:rPr>
          <w:sz w:val="28"/>
          <w:szCs w:val="28"/>
        </w:rPr>
        <w:t>в связи с изменением объемов финансирования за счет средств бюджета Одинцовского городского округа Московской области на 2021</w:t>
      </w:r>
      <w:r w:rsidR="00C10D02">
        <w:rPr>
          <w:sz w:val="28"/>
          <w:szCs w:val="28"/>
        </w:rPr>
        <w:t xml:space="preserve"> </w:t>
      </w:r>
      <w:r w:rsidR="005C77F5" w:rsidRPr="00324A12">
        <w:rPr>
          <w:sz w:val="28"/>
          <w:szCs w:val="28"/>
        </w:rPr>
        <w:t xml:space="preserve">год </w:t>
      </w:r>
      <w:r w:rsidR="00AE0E2A">
        <w:rPr>
          <w:sz w:val="28"/>
          <w:szCs w:val="28"/>
        </w:rPr>
        <w:t xml:space="preserve">мероприятий </w:t>
      </w:r>
      <w:r w:rsidR="00AE0E2A" w:rsidRPr="00FD60B5">
        <w:rPr>
          <w:sz w:val="28"/>
          <w:szCs w:val="28"/>
        </w:rPr>
        <w:t>подпрограммы «Развитие имущественного комплекса», подпрограммы «Обеспечивающая подпрограмма»</w:t>
      </w:r>
      <w:r w:rsidR="005C77F5" w:rsidRPr="00324A12">
        <w:rPr>
          <w:sz w:val="28"/>
          <w:szCs w:val="28"/>
        </w:rPr>
        <w:t xml:space="preserve"> </w:t>
      </w:r>
      <w:r w:rsidR="005C77F5" w:rsidRPr="005C77F5">
        <w:rPr>
          <w:sz w:val="28"/>
          <w:szCs w:val="28"/>
        </w:rPr>
        <w:t>муниципальной программы</w:t>
      </w:r>
      <w:r w:rsidR="005C77F5">
        <w:rPr>
          <w:sz w:val="28"/>
          <w:szCs w:val="28"/>
        </w:rPr>
        <w:t xml:space="preserve"> </w:t>
      </w:r>
      <w:r w:rsidR="00E60557" w:rsidRPr="00E30DE7">
        <w:rPr>
          <w:sz w:val="28"/>
          <w:szCs w:val="28"/>
        </w:rPr>
        <w:t>Одинцовского городского округа Московской области «Управление имущест</w:t>
      </w:r>
      <w:r w:rsidR="00633ECF">
        <w:rPr>
          <w:sz w:val="28"/>
          <w:szCs w:val="28"/>
        </w:rPr>
        <w:t xml:space="preserve">вом и муниципальными финансами» </w:t>
      </w:r>
      <w:r w:rsidR="00E60557" w:rsidRPr="00E30DE7">
        <w:rPr>
          <w:sz w:val="28"/>
          <w:szCs w:val="28"/>
        </w:rPr>
        <w:t>на 2020-2024 годы,</w:t>
      </w:r>
    </w:p>
    <w:p w14:paraId="3A97B438" w14:textId="675CDBB2" w:rsidR="00DC2E8D" w:rsidRPr="00E30DE7" w:rsidRDefault="00633ECF" w:rsidP="00AC155C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AC155C">
      <w:pPr>
        <w:widowControl w:val="0"/>
        <w:spacing w:line="276" w:lineRule="auto"/>
        <w:jc w:val="center"/>
        <w:rPr>
          <w:sz w:val="28"/>
          <w:szCs w:val="28"/>
        </w:rPr>
      </w:pPr>
    </w:p>
    <w:p w14:paraId="68E988B4" w14:textId="77777777" w:rsidR="00C979E5" w:rsidRPr="00E30DE7" w:rsidRDefault="00C979E5" w:rsidP="00AC155C">
      <w:pPr>
        <w:widowControl w:val="0"/>
        <w:spacing w:line="276" w:lineRule="auto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622E62B7" w14:textId="77777777" w:rsidR="00C979E5" w:rsidRPr="00E30DE7" w:rsidRDefault="00C979E5" w:rsidP="00AC155C">
      <w:pPr>
        <w:pStyle w:val="30"/>
        <w:spacing w:after="0" w:line="276" w:lineRule="auto"/>
        <w:ind w:left="0"/>
        <w:rPr>
          <w:sz w:val="28"/>
          <w:szCs w:val="28"/>
        </w:rPr>
      </w:pPr>
    </w:p>
    <w:p w14:paraId="610A3CF3" w14:textId="0DFA9AA1" w:rsidR="00813F48" w:rsidRDefault="00C979E5" w:rsidP="00AC155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E40694" w:rsidRPr="00E30DE7">
        <w:rPr>
          <w:sz w:val="28"/>
          <w:szCs w:val="28"/>
        </w:rPr>
        <w:t>30.10.2019</w:t>
      </w:r>
      <w:r w:rsidRPr="00E30DE7">
        <w:rPr>
          <w:sz w:val="28"/>
          <w:szCs w:val="28"/>
        </w:rPr>
        <w:t xml:space="preserve"> № </w:t>
      </w:r>
      <w:r w:rsidR="00E40694" w:rsidRPr="00E30DE7">
        <w:rPr>
          <w:sz w:val="28"/>
          <w:szCs w:val="28"/>
        </w:rPr>
        <w:t>1265</w:t>
      </w:r>
      <w:r w:rsidR="00130660" w:rsidRPr="00E30DE7">
        <w:rPr>
          <w:sz w:val="28"/>
          <w:szCs w:val="28"/>
        </w:rPr>
        <w:t xml:space="preserve"> (в редакции от </w:t>
      </w:r>
      <w:r w:rsidR="0063067A">
        <w:rPr>
          <w:color w:val="000000" w:themeColor="text1"/>
          <w:sz w:val="28"/>
          <w:szCs w:val="28"/>
        </w:rPr>
        <w:t>0</w:t>
      </w:r>
      <w:r w:rsidR="00965C94">
        <w:rPr>
          <w:color w:val="000000" w:themeColor="text1"/>
          <w:sz w:val="28"/>
          <w:szCs w:val="28"/>
        </w:rPr>
        <w:t>8</w:t>
      </w:r>
      <w:r w:rsidR="00130660" w:rsidRPr="008E16DD">
        <w:rPr>
          <w:color w:val="000000" w:themeColor="text1"/>
          <w:sz w:val="28"/>
          <w:szCs w:val="28"/>
        </w:rPr>
        <w:t>.</w:t>
      </w:r>
      <w:r w:rsidR="00E85661">
        <w:rPr>
          <w:color w:val="000000" w:themeColor="text1"/>
          <w:sz w:val="28"/>
          <w:szCs w:val="28"/>
        </w:rPr>
        <w:t>0</w:t>
      </w:r>
      <w:r w:rsidR="0063067A">
        <w:rPr>
          <w:color w:val="000000" w:themeColor="text1"/>
          <w:sz w:val="28"/>
          <w:szCs w:val="28"/>
        </w:rPr>
        <w:t>7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E85661">
        <w:rPr>
          <w:color w:val="000000" w:themeColor="text1"/>
          <w:sz w:val="28"/>
          <w:szCs w:val="28"/>
        </w:rPr>
        <w:t>1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63067A">
        <w:rPr>
          <w:color w:val="000000" w:themeColor="text1"/>
          <w:sz w:val="28"/>
          <w:szCs w:val="28"/>
        </w:rPr>
        <w:t xml:space="preserve"> 2424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65D1C037" w14:textId="34152C8B" w:rsidR="00165784" w:rsidRDefault="00773BC0" w:rsidP="003C6F6F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="001E7033" w:rsidRPr="001E7033">
        <w:rPr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04C710DA" w14:textId="77777777" w:rsidR="00C10D02" w:rsidRDefault="00C10D02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</w:p>
    <w:p w14:paraId="19F8948D" w14:textId="51CEC777" w:rsidR="001E7033" w:rsidRDefault="001E7033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6"/>
        <w:gridCol w:w="1345"/>
        <w:gridCol w:w="1345"/>
        <w:gridCol w:w="1347"/>
        <w:gridCol w:w="1345"/>
        <w:gridCol w:w="1356"/>
        <w:gridCol w:w="1433"/>
      </w:tblGrid>
      <w:tr w:rsidR="001E7033" w:rsidRPr="00E30DE7" w14:paraId="4DFE3FEA" w14:textId="77777777" w:rsidTr="00E65C81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20A82EE8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Источники финансирования   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br/>
              <w:t xml:space="preserve">муниципальной программы, </w:t>
            </w:r>
          </w:p>
          <w:p w14:paraId="6F1C413C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в том числе по годам:   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29FF9B86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Расходы (тыс. рублей) </w:t>
            </w:r>
          </w:p>
        </w:tc>
      </w:tr>
      <w:tr w:rsidR="001E7033" w:rsidRPr="00E30DE7" w14:paraId="08B1669A" w14:textId="77777777" w:rsidTr="00324A12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2DE6E4DA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E647CE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2024 год</w:t>
            </w:r>
          </w:p>
        </w:tc>
      </w:tr>
      <w:tr w:rsidR="001E7033" w:rsidRPr="007F1E3B" w14:paraId="7273F16C" w14:textId="77777777" w:rsidTr="00324A12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8B9E5D5" w14:textId="77777777" w:rsidR="001E7033" w:rsidRPr="00C76D93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7B383F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7B383F">
              <w:rPr>
                <w:sz w:val="16"/>
                <w:szCs w:val="16"/>
                <w:lang w:eastAsia="zh-CN"/>
              </w:rPr>
              <w:t>103 245,00000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26 502,00000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25 581,00000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25 581,00000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25 581,00000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7B383F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7B383F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7B383F" w:rsidRPr="007F1E3B" w14:paraId="2AF9ABF0" w14:textId="77777777" w:rsidTr="00E65C81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6501B312" w14:textId="77777777" w:rsidR="007B383F" w:rsidRPr="00C76D93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1438" w14:textId="0403D7D9" w:rsidR="007B383F" w:rsidRPr="00192673" w:rsidRDefault="00192673" w:rsidP="0019267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92673">
              <w:rPr>
                <w:bCs/>
                <w:sz w:val="16"/>
                <w:szCs w:val="16"/>
                <w:lang w:val="en-US"/>
              </w:rPr>
              <w:t>9 773 617,69252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57B3EAD9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1 903 800,54437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B5F66DB" w:rsidR="007B383F" w:rsidRPr="007B383F" w:rsidRDefault="00192673" w:rsidP="007B383F">
            <w:pPr>
              <w:jc w:val="center"/>
              <w:rPr>
                <w:bCs/>
                <w:sz w:val="16"/>
                <w:szCs w:val="16"/>
              </w:rPr>
            </w:pPr>
            <w:r w:rsidRPr="00192673">
              <w:rPr>
                <w:bCs/>
                <w:sz w:val="16"/>
                <w:szCs w:val="16"/>
              </w:rPr>
              <w:t>2 003 798,17777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E44C" w14:textId="77777777" w:rsidR="007B383F" w:rsidRPr="007B383F" w:rsidRDefault="007B383F" w:rsidP="007B383F">
            <w:pPr>
              <w:rPr>
                <w:bCs/>
                <w:sz w:val="16"/>
                <w:szCs w:val="16"/>
              </w:rPr>
            </w:pPr>
          </w:p>
          <w:p w14:paraId="20E5F6ED" w14:textId="77777777" w:rsidR="007B383F" w:rsidRPr="007B383F" w:rsidRDefault="007B383F" w:rsidP="007B383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B383F">
              <w:rPr>
                <w:bCs/>
                <w:sz w:val="16"/>
                <w:szCs w:val="16"/>
              </w:rPr>
              <w:t>1 964 966,76169</w:t>
            </w:r>
          </w:p>
          <w:p w14:paraId="065D07F6" w14:textId="77777777" w:rsidR="007B383F" w:rsidRPr="007B383F" w:rsidRDefault="007B383F" w:rsidP="007B383F">
            <w:pPr>
              <w:rPr>
                <w:bCs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4BC8B9DF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1 936 143,37969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08739864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1 964 908,82900</w:t>
            </w:r>
          </w:p>
        </w:tc>
      </w:tr>
      <w:tr w:rsidR="007B383F" w:rsidRPr="007F1E3B" w14:paraId="6D025E4E" w14:textId="77777777" w:rsidTr="00E65C81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745E9A8" w14:textId="77777777" w:rsidR="007B383F" w:rsidRPr="00C76D93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  <w:p w14:paraId="6021B935" w14:textId="77777777" w:rsidR="007B383F" w:rsidRPr="00C76D93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221FD145" w:rsidR="007B383F" w:rsidRPr="007B383F" w:rsidRDefault="00192673" w:rsidP="007B383F">
            <w:pPr>
              <w:jc w:val="center"/>
              <w:rPr>
                <w:sz w:val="16"/>
                <w:szCs w:val="16"/>
              </w:rPr>
            </w:pPr>
            <w:r w:rsidRPr="00192673">
              <w:rPr>
                <w:bCs/>
                <w:sz w:val="16"/>
                <w:szCs w:val="16"/>
              </w:rPr>
              <w:t>9 876 862,69252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528855AB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1 930 302,54437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17B02640" w:rsidR="007B383F" w:rsidRPr="007B383F" w:rsidRDefault="00192673" w:rsidP="007B383F">
            <w:pPr>
              <w:jc w:val="center"/>
              <w:rPr>
                <w:bCs/>
                <w:sz w:val="16"/>
                <w:szCs w:val="16"/>
              </w:rPr>
            </w:pPr>
            <w:r w:rsidRPr="00192673">
              <w:rPr>
                <w:bCs/>
                <w:sz w:val="16"/>
                <w:szCs w:val="16"/>
              </w:rPr>
              <w:t>2 029 379,17777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623DCABC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1 990 547,76169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0A0F2F86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1 961 724,37969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1B2D994C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1 964 908,82900</w:t>
            </w:r>
          </w:p>
        </w:tc>
      </w:tr>
    </w:tbl>
    <w:p w14:paraId="4C77CEED" w14:textId="195D59E6" w:rsidR="00C10D02" w:rsidRDefault="001E7033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B4A31FD" w14:textId="4E833754" w:rsidR="00C10D02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155C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FD60B5">
        <w:rPr>
          <w:rFonts w:ascii="Times New Roman" w:hAnsi="Times New Roman" w:cs="Times New Roman"/>
          <w:sz w:val="28"/>
          <w:szCs w:val="28"/>
        </w:rPr>
        <w:t>П</w:t>
      </w:r>
      <w:r w:rsidR="00C10D02" w:rsidRPr="00FD60B5">
        <w:rPr>
          <w:rFonts w:ascii="Times New Roman" w:hAnsi="Times New Roman" w:cs="Times New Roman"/>
          <w:sz w:val="28"/>
          <w:szCs w:val="28"/>
        </w:rPr>
        <w:t>а</w:t>
      </w:r>
      <w:r w:rsidR="00C10D02">
        <w:rPr>
          <w:rFonts w:ascii="Times New Roman" w:hAnsi="Times New Roman" w:cs="Times New Roman"/>
          <w:sz w:val="28"/>
          <w:szCs w:val="28"/>
        </w:rPr>
        <w:t xml:space="preserve">спорт подпрограммы </w:t>
      </w:r>
    </w:p>
    <w:p w14:paraId="5858C327" w14:textId="77777777" w:rsidR="00C10D02" w:rsidRPr="00773BC0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3"/>
        <w:gridCol w:w="1133"/>
        <w:gridCol w:w="1131"/>
        <w:gridCol w:w="1009"/>
        <w:gridCol w:w="1038"/>
        <w:gridCol w:w="1038"/>
        <w:gridCol w:w="1121"/>
        <w:gridCol w:w="1009"/>
        <w:gridCol w:w="1084"/>
      </w:tblGrid>
      <w:tr w:rsidR="00C10D02" w:rsidRPr="00E30DE7" w14:paraId="6BD996AA" w14:textId="77777777" w:rsidTr="00411F67">
        <w:trPr>
          <w:trHeight w:val="577"/>
        </w:trPr>
        <w:tc>
          <w:tcPr>
            <w:tcW w:w="1143" w:type="dxa"/>
          </w:tcPr>
          <w:p w14:paraId="60439A04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Муниципальный  заказчик подпрограммы</w:t>
            </w:r>
          </w:p>
        </w:tc>
        <w:tc>
          <w:tcPr>
            <w:tcW w:w="1133" w:type="dxa"/>
          </w:tcPr>
          <w:p w14:paraId="1C78660B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30" w:type="dxa"/>
            <w:gridSpan w:val="7"/>
            <w:vAlign w:val="center"/>
          </w:tcPr>
          <w:p w14:paraId="51EF7EA0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E30DE7" w14:paraId="74C80331" w14:textId="77777777" w:rsidTr="00411F67">
        <w:trPr>
          <w:trHeight w:val="20"/>
        </w:trPr>
        <w:tc>
          <w:tcPr>
            <w:tcW w:w="1143" w:type="dxa"/>
            <w:vMerge w:val="restart"/>
          </w:tcPr>
          <w:p w14:paraId="1575F018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688897C4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5B332C3E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99" w:type="dxa"/>
            <w:gridSpan w:val="6"/>
          </w:tcPr>
          <w:p w14:paraId="553531E5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C10D02" w:rsidRPr="00E30DE7" w14:paraId="55A425C3" w14:textId="77777777" w:rsidTr="00411F67">
        <w:trPr>
          <w:trHeight w:val="395"/>
        </w:trPr>
        <w:tc>
          <w:tcPr>
            <w:tcW w:w="1143" w:type="dxa"/>
            <w:vMerge/>
          </w:tcPr>
          <w:p w14:paraId="382F694F" w14:textId="77777777" w:rsidR="00C10D02" w:rsidRPr="00E30DE7" w:rsidRDefault="00C10D02" w:rsidP="00411F67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</w:tcPr>
          <w:p w14:paraId="0DE7D4F1" w14:textId="77777777" w:rsidR="00C10D02" w:rsidRPr="00E30DE7" w:rsidRDefault="00C10D02" w:rsidP="00411F67">
            <w:pPr>
              <w:shd w:val="clear" w:color="auto" w:fill="FFFFFF" w:themeFill="background1"/>
              <w:suppressAutoHyphens/>
              <w:ind w:left="-62"/>
              <w:rPr>
                <w:sz w:val="15"/>
                <w:szCs w:val="15"/>
              </w:rPr>
            </w:pPr>
          </w:p>
        </w:tc>
        <w:tc>
          <w:tcPr>
            <w:tcW w:w="1131" w:type="dxa"/>
            <w:vMerge/>
          </w:tcPr>
          <w:p w14:paraId="11E0E1D8" w14:textId="77777777" w:rsidR="00C10D02" w:rsidRPr="00E30DE7" w:rsidRDefault="00C10D02" w:rsidP="00411F67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009" w:type="dxa"/>
            <w:vAlign w:val="center"/>
          </w:tcPr>
          <w:p w14:paraId="7B44C919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038" w:type="dxa"/>
            <w:vAlign w:val="center"/>
          </w:tcPr>
          <w:p w14:paraId="18E3B5AD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1038" w:type="dxa"/>
            <w:vAlign w:val="center"/>
          </w:tcPr>
          <w:p w14:paraId="72BD6F68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1121" w:type="dxa"/>
            <w:vAlign w:val="center"/>
          </w:tcPr>
          <w:p w14:paraId="6867E682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1009" w:type="dxa"/>
            <w:vAlign w:val="center"/>
          </w:tcPr>
          <w:p w14:paraId="750301A2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1084" w:type="dxa"/>
            <w:vAlign w:val="center"/>
          </w:tcPr>
          <w:p w14:paraId="0F62A016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C10D02" w:rsidRPr="00E30DE7" w14:paraId="2A89F3CC" w14:textId="77777777" w:rsidTr="00411F67">
        <w:trPr>
          <w:trHeight w:val="489"/>
        </w:trPr>
        <w:tc>
          <w:tcPr>
            <w:tcW w:w="1143" w:type="dxa"/>
            <w:vMerge/>
          </w:tcPr>
          <w:p w14:paraId="15498568" w14:textId="77777777" w:rsidR="00C10D02" w:rsidRPr="00E30DE7" w:rsidRDefault="00C10D02" w:rsidP="00411F67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3" w:type="dxa"/>
            <w:vMerge w:val="restart"/>
          </w:tcPr>
          <w:p w14:paraId="408F98E9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1131" w:type="dxa"/>
          </w:tcPr>
          <w:p w14:paraId="2BC1F2AA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4A872B3D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14:paraId="3E92A7F0" w14:textId="77777777" w:rsidR="00C10D02" w:rsidRPr="00C10D02" w:rsidRDefault="00C10D02" w:rsidP="00411F67">
            <w:pPr>
              <w:ind w:left="-62" w:right="-62"/>
              <w:jc w:val="center"/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94 751,91322</w:t>
            </w:r>
          </w:p>
        </w:tc>
        <w:tc>
          <w:tcPr>
            <w:tcW w:w="1038" w:type="dxa"/>
            <w:vAlign w:val="center"/>
          </w:tcPr>
          <w:p w14:paraId="1B4187CB" w14:textId="3696087D" w:rsidR="00C10D02" w:rsidRPr="00C10D02" w:rsidRDefault="00C10D02" w:rsidP="00411F67">
            <w:pPr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1</w:t>
            </w:r>
            <w:r w:rsidR="003A39E2">
              <w:rPr>
                <w:bCs/>
                <w:sz w:val="15"/>
                <w:szCs w:val="15"/>
              </w:rPr>
              <w:t>47</w:t>
            </w:r>
            <w:r w:rsidRPr="00C10D02">
              <w:rPr>
                <w:bCs/>
                <w:sz w:val="15"/>
                <w:szCs w:val="15"/>
              </w:rPr>
              <w:t xml:space="preserve"> </w:t>
            </w:r>
            <w:r w:rsidR="003A39E2">
              <w:rPr>
                <w:bCs/>
                <w:sz w:val="15"/>
                <w:szCs w:val="15"/>
              </w:rPr>
              <w:t>093</w:t>
            </w:r>
            <w:r w:rsidRPr="00C10D02">
              <w:rPr>
                <w:bCs/>
                <w:sz w:val="15"/>
                <w:szCs w:val="15"/>
              </w:rPr>
              <w:t>,937</w:t>
            </w:r>
            <w:r w:rsidR="003A39E2">
              <w:rPr>
                <w:bCs/>
                <w:sz w:val="15"/>
                <w:szCs w:val="15"/>
              </w:rPr>
              <w:t>58</w:t>
            </w:r>
          </w:p>
        </w:tc>
        <w:tc>
          <w:tcPr>
            <w:tcW w:w="1038" w:type="dxa"/>
            <w:vAlign w:val="center"/>
          </w:tcPr>
          <w:p w14:paraId="3C0335E9" w14:textId="77777777" w:rsidR="00C10D02" w:rsidRPr="00C10D02" w:rsidRDefault="00C10D02" w:rsidP="00411F67">
            <w:pPr>
              <w:jc w:val="center"/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88 578,73800</w:t>
            </w:r>
          </w:p>
        </w:tc>
        <w:tc>
          <w:tcPr>
            <w:tcW w:w="1121" w:type="dxa"/>
            <w:vAlign w:val="center"/>
          </w:tcPr>
          <w:p w14:paraId="62380A34" w14:textId="77777777" w:rsidR="00C10D02" w:rsidRPr="00C10D02" w:rsidRDefault="00C10D02" w:rsidP="00411F67">
            <w:pPr>
              <w:jc w:val="center"/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88 578,73800</w:t>
            </w:r>
          </w:p>
        </w:tc>
        <w:tc>
          <w:tcPr>
            <w:tcW w:w="1009" w:type="dxa"/>
            <w:vAlign w:val="center"/>
          </w:tcPr>
          <w:p w14:paraId="1AEC4F93" w14:textId="77777777" w:rsidR="00C10D02" w:rsidRPr="00C10D02" w:rsidRDefault="00C10D02" w:rsidP="00411F67">
            <w:pPr>
              <w:jc w:val="center"/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83 512,70700</w:t>
            </w:r>
          </w:p>
        </w:tc>
        <w:tc>
          <w:tcPr>
            <w:tcW w:w="1084" w:type="dxa"/>
            <w:vAlign w:val="center"/>
          </w:tcPr>
          <w:p w14:paraId="76B57658" w14:textId="28C6BEFA" w:rsidR="00C10D02" w:rsidRPr="00C10D02" w:rsidRDefault="003A39E2" w:rsidP="00411F67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502</w:t>
            </w:r>
            <w:r w:rsidR="00C10D02" w:rsidRPr="00C10D02">
              <w:rPr>
                <w:bCs/>
                <w:sz w:val="15"/>
                <w:szCs w:val="15"/>
              </w:rPr>
              <w:t> </w:t>
            </w:r>
            <w:r>
              <w:rPr>
                <w:bCs/>
                <w:sz w:val="15"/>
                <w:szCs w:val="15"/>
              </w:rPr>
              <w:t>5</w:t>
            </w:r>
            <w:r w:rsidR="00C10D02" w:rsidRPr="00C10D02">
              <w:rPr>
                <w:bCs/>
                <w:sz w:val="15"/>
                <w:szCs w:val="15"/>
              </w:rPr>
              <w:t>1</w:t>
            </w:r>
            <w:r>
              <w:rPr>
                <w:bCs/>
                <w:sz w:val="15"/>
                <w:szCs w:val="15"/>
              </w:rPr>
              <w:t>6</w:t>
            </w:r>
            <w:r w:rsidR="00C10D02"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033</w:t>
            </w:r>
            <w:r w:rsidR="00C10D02" w:rsidRPr="00C10D02">
              <w:rPr>
                <w:bCs/>
                <w:sz w:val="15"/>
                <w:szCs w:val="15"/>
              </w:rPr>
              <w:t>80</w:t>
            </w:r>
          </w:p>
        </w:tc>
      </w:tr>
      <w:tr w:rsidR="00C10D02" w:rsidRPr="00E30DE7" w14:paraId="712D0959" w14:textId="77777777" w:rsidTr="00411F67">
        <w:trPr>
          <w:trHeight w:val="605"/>
        </w:trPr>
        <w:tc>
          <w:tcPr>
            <w:tcW w:w="1143" w:type="dxa"/>
            <w:vMerge/>
          </w:tcPr>
          <w:p w14:paraId="095AAD42" w14:textId="77777777" w:rsidR="00C10D02" w:rsidRPr="00E30DE7" w:rsidRDefault="00C10D02" w:rsidP="00411F67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</w:tcPr>
          <w:p w14:paraId="76B56FC6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1" w:type="dxa"/>
          </w:tcPr>
          <w:p w14:paraId="298E04FA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1009" w:type="dxa"/>
            <w:vAlign w:val="center"/>
          </w:tcPr>
          <w:p w14:paraId="4861C303" w14:textId="77777777" w:rsidR="00C10D02" w:rsidRPr="003A39E2" w:rsidRDefault="00C10D02" w:rsidP="00411F67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26 502,00000</w:t>
            </w:r>
          </w:p>
        </w:tc>
        <w:tc>
          <w:tcPr>
            <w:tcW w:w="1038" w:type="dxa"/>
            <w:vAlign w:val="center"/>
          </w:tcPr>
          <w:p w14:paraId="69831BE9" w14:textId="77777777" w:rsidR="00C10D02" w:rsidRPr="003A39E2" w:rsidRDefault="00C10D02" w:rsidP="00411F67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25 581,00000</w:t>
            </w:r>
          </w:p>
        </w:tc>
        <w:tc>
          <w:tcPr>
            <w:tcW w:w="1038" w:type="dxa"/>
            <w:vAlign w:val="center"/>
          </w:tcPr>
          <w:p w14:paraId="65D2A0F8" w14:textId="77777777" w:rsidR="00C10D02" w:rsidRPr="003A39E2" w:rsidRDefault="00C10D02" w:rsidP="00411F67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25 581,00000</w:t>
            </w:r>
          </w:p>
        </w:tc>
        <w:tc>
          <w:tcPr>
            <w:tcW w:w="1121" w:type="dxa"/>
            <w:vAlign w:val="center"/>
          </w:tcPr>
          <w:p w14:paraId="5C763670" w14:textId="77777777" w:rsidR="00C10D02" w:rsidRPr="003A39E2" w:rsidRDefault="00C10D02" w:rsidP="00411F67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25 581</w:t>
            </w:r>
            <w:r w:rsidRPr="003A39E2">
              <w:rPr>
                <w:bCs/>
                <w:sz w:val="15"/>
                <w:szCs w:val="15"/>
              </w:rPr>
              <w:t>,00000</w:t>
            </w:r>
          </w:p>
        </w:tc>
        <w:tc>
          <w:tcPr>
            <w:tcW w:w="1009" w:type="dxa"/>
            <w:vAlign w:val="center"/>
          </w:tcPr>
          <w:p w14:paraId="3E13598E" w14:textId="77777777" w:rsidR="00C10D02" w:rsidRPr="003A39E2" w:rsidRDefault="00C10D02" w:rsidP="00411F67">
            <w:pPr>
              <w:jc w:val="center"/>
              <w:rPr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84" w:type="dxa"/>
            <w:vAlign w:val="center"/>
          </w:tcPr>
          <w:p w14:paraId="075F6186" w14:textId="77777777" w:rsidR="00C10D02" w:rsidRPr="003A39E2" w:rsidRDefault="00C10D02" w:rsidP="00411F67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103 245,00000</w:t>
            </w:r>
          </w:p>
        </w:tc>
      </w:tr>
      <w:tr w:rsidR="00C10D02" w:rsidRPr="00E30DE7" w14:paraId="6FB7840D" w14:textId="77777777" w:rsidTr="00411F67">
        <w:trPr>
          <w:trHeight w:val="20"/>
        </w:trPr>
        <w:tc>
          <w:tcPr>
            <w:tcW w:w="1143" w:type="dxa"/>
            <w:vMerge/>
          </w:tcPr>
          <w:p w14:paraId="67CC99F5" w14:textId="77777777" w:rsidR="00C10D02" w:rsidRPr="00E30DE7" w:rsidRDefault="00C10D02" w:rsidP="00411F67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</w:tcPr>
          <w:p w14:paraId="2F3B4B4F" w14:textId="77777777" w:rsidR="00C10D02" w:rsidRPr="00E30DE7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1" w:type="dxa"/>
          </w:tcPr>
          <w:p w14:paraId="10C4E07B" w14:textId="77777777" w:rsidR="00C10D02" w:rsidRPr="00E30DE7" w:rsidRDefault="00C10D02" w:rsidP="00411F67">
            <w:pPr>
              <w:rPr>
                <w:sz w:val="15"/>
                <w:szCs w:val="15"/>
              </w:rPr>
            </w:pPr>
            <w:r w:rsidRPr="00E30DE7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1009" w:type="dxa"/>
            <w:vAlign w:val="center"/>
          </w:tcPr>
          <w:p w14:paraId="6BE48CCC" w14:textId="77777777" w:rsidR="00C10D02" w:rsidRPr="003A39E2" w:rsidRDefault="00C10D02" w:rsidP="00411F67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68 249,91322</w:t>
            </w:r>
          </w:p>
        </w:tc>
        <w:tc>
          <w:tcPr>
            <w:tcW w:w="1038" w:type="dxa"/>
            <w:vAlign w:val="center"/>
          </w:tcPr>
          <w:p w14:paraId="39FA5E34" w14:textId="00D9CF46" w:rsidR="00C10D02" w:rsidRPr="003A39E2" w:rsidRDefault="003A39E2" w:rsidP="00411F67">
            <w:pPr>
              <w:jc w:val="center"/>
              <w:rPr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121</w:t>
            </w:r>
            <w:r w:rsidR="00C10D02" w:rsidRPr="003A39E2">
              <w:rPr>
                <w:bCs/>
                <w:sz w:val="15"/>
                <w:szCs w:val="15"/>
              </w:rPr>
              <w:t> </w:t>
            </w:r>
            <w:r w:rsidRPr="003A39E2">
              <w:rPr>
                <w:bCs/>
                <w:sz w:val="15"/>
                <w:szCs w:val="15"/>
              </w:rPr>
              <w:t>512</w:t>
            </w:r>
            <w:r w:rsidR="00C10D02" w:rsidRPr="003A39E2">
              <w:rPr>
                <w:bCs/>
                <w:sz w:val="15"/>
                <w:szCs w:val="15"/>
              </w:rPr>
              <w:t>,</w:t>
            </w:r>
            <w:r w:rsidRPr="003A39E2">
              <w:rPr>
                <w:bCs/>
                <w:sz w:val="15"/>
                <w:szCs w:val="15"/>
              </w:rPr>
              <w:t>93758</w:t>
            </w:r>
          </w:p>
        </w:tc>
        <w:tc>
          <w:tcPr>
            <w:tcW w:w="1038" w:type="dxa"/>
            <w:vAlign w:val="center"/>
          </w:tcPr>
          <w:p w14:paraId="54FCC08A" w14:textId="77777777" w:rsidR="00C10D02" w:rsidRPr="003A39E2" w:rsidRDefault="00C10D02" w:rsidP="00411F67">
            <w:pPr>
              <w:jc w:val="center"/>
              <w:rPr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62 997,73800</w:t>
            </w:r>
          </w:p>
        </w:tc>
        <w:tc>
          <w:tcPr>
            <w:tcW w:w="1121" w:type="dxa"/>
            <w:vAlign w:val="center"/>
          </w:tcPr>
          <w:p w14:paraId="7F734B31" w14:textId="77777777" w:rsidR="00C10D02" w:rsidRPr="003A39E2" w:rsidRDefault="00C10D02" w:rsidP="00411F67">
            <w:pPr>
              <w:jc w:val="center"/>
              <w:rPr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62 997,73800</w:t>
            </w:r>
          </w:p>
        </w:tc>
        <w:tc>
          <w:tcPr>
            <w:tcW w:w="1009" w:type="dxa"/>
            <w:vAlign w:val="center"/>
          </w:tcPr>
          <w:p w14:paraId="05188792" w14:textId="77777777" w:rsidR="00C10D02" w:rsidRPr="003A39E2" w:rsidRDefault="00C10D02" w:rsidP="00411F67">
            <w:pPr>
              <w:jc w:val="center"/>
              <w:rPr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83 512,70700</w:t>
            </w:r>
          </w:p>
        </w:tc>
        <w:tc>
          <w:tcPr>
            <w:tcW w:w="1084" w:type="dxa"/>
            <w:vAlign w:val="center"/>
          </w:tcPr>
          <w:p w14:paraId="1915ADC1" w14:textId="4A1EB6BC" w:rsidR="00C10D02" w:rsidRPr="003A39E2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A39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19267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A39E2">
              <w:rPr>
                <w:rFonts w:ascii="Times New Roman" w:hAnsi="Times New Roman" w:cs="Times New Roman"/>
                <w:sz w:val="15"/>
                <w:szCs w:val="15"/>
              </w:rPr>
              <w:t>9 </w:t>
            </w:r>
            <w:r w:rsidR="003A39E2">
              <w:rPr>
                <w:rFonts w:ascii="Times New Roman" w:hAnsi="Times New Roman" w:cs="Times New Roman"/>
                <w:sz w:val="15"/>
                <w:szCs w:val="15"/>
              </w:rPr>
              <w:t>271</w:t>
            </w:r>
            <w:r w:rsidRPr="003A39E2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3A39E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3A39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3A39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3A39E2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</w:tr>
    </w:tbl>
    <w:p w14:paraId="33348F1F" w14:textId="3741D6CB" w:rsidR="00C10D02" w:rsidRDefault="00C10D02" w:rsidP="00C10D02">
      <w:pPr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299ECC3" w14:textId="4596CAE1" w:rsidR="00281CB4" w:rsidRPr="00E30DE7" w:rsidRDefault="00C10D02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CB4" w:rsidRPr="00552C72">
        <w:rPr>
          <w:rFonts w:ascii="Times New Roman" w:hAnsi="Times New Roman" w:cs="Times New Roman"/>
          <w:sz w:val="28"/>
          <w:szCs w:val="28"/>
        </w:rPr>
        <w:t>)</w:t>
      </w:r>
      <w:r w:rsidR="007F1E3B">
        <w:rPr>
          <w:sz w:val="28"/>
          <w:szCs w:val="28"/>
        </w:rPr>
        <w:t xml:space="preserve"> </w:t>
      </w:r>
      <w:r w:rsidR="007F1E3B">
        <w:rPr>
          <w:rFonts w:ascii="Times New Roman" w:hAnsi="Times New Roman" w:cs="Times New Roman"/>
          <w:sz w:val="28"/>
          <w:szCs w:val="28"/>
        </w:rPr>
        <w:t>п</w:t>
      </w:r>
      <w:r w:rsidR="00AE0E2A">
        <w:rPr>
          <w:rFonts w:ascii="Times New Roman" w:hAnsi="Times New Roman" w:cs="Times New Roman"/>
          <w:sz w:val="28"/>
          <w:szCs w:val="28"/>
        </w:rPr>
        <w:t>одраздел 8.1</w:t>
      </w:r>
      <w:r w:rsidR="00281CB4" w:rsidRPr="00E30DE7">
        <w:rPr>
          <w:rFonts w:ascii="Times New Roman" w:hAnsi="Times New Roman" w:cs="Times New Roman"/>
          <w:sz w:val="28"/>
          <w:szCs w:val="28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30DE7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t xml:space="preserve">     «</w:t>
      </w:r>
      <w:r w:rsidRPr="00E30DE7">
        <w:rPr>
          <w:bCs/>
          <w:kern w:val="36"/>
          <w:sz w:val="28"/>
          <w:szCs w:val="28"/>
        </w:rPr>
        <w:t xml:space="preserve">8.1. </w:t>
      </w:r>
      <w:r w:rsidR="00773BC0"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03F42620" w14:textId="150BF83D" w:rsidR="00D51C9B" w:rsidRPr="00E30DE7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315"/>
        <w:gridCol w:w="1264"/>
        <w:gridCol w:w="1022"/>
        <w:gridCol w:w="977"/>
        <w:gridCol w:w="979"/>
        <w:gridCol w:w="978"/>
        <w:gridCol w:w="982"/>
        <w:gridCol w:w="967"/>
      </w:tblGrid>
      <w:tr w:rsidR="00281CB4" w:rsidRPr="00E30DE7" w14:paraId="4F2EE1F6" w14:textId="77777777" w:rsidTr="0054646F">
        <w:trPr>
          <w:trHeight w:val="577"/>
        </w:trPr>
        <w:tc>
          <w:tcPr>
            <w:tcW w:w="626" w:type="pct"/>
          </w:tcPr>
          <w:p w14:paraId="7F73AC44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Администрация Одинцовского городского округа Московской области</w:t>
            </w:r>
          </w:p>
        </w:tc>
      </w:tr>
      <w:tr w:rsidR="00281CB4" w:rsidRPr="00E30DE7" w14:paraId="292BCABF" w14:textId="77777777" w:rsidTr="0054646F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54646F" w:rsidRPr="00E30DE7" w14:paraId="1F054406" w14:textId="77777777" w:rsidTr="00243FCA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243FCA" w:rsidRPr="00E30DE7" w14:paraId="6AB008E1" w14:textId="77777777" w:rsidTr="00243FCA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C76D93" w:rsidRDefault="00243FCA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7036BFC6" w14:textId="77777777" w:rsidR="00243FCA" w:rsidRPr="00C76D93" w:rsidRDefault="00243FCA" w:rsidP="00243FC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14:paraId="7F68138D" w14:textId="77777777" w:rsidR="00243FCA" w:rsidRPr="00C76D93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14:paraId="56C2F58B" w14:textId="77777777" w:rsidR="00243FCA" w:rsidRPr="00C76D93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243FCA" w:rsidRDefault="00243FCA" w:rsidP="00243FCA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 w:rsidR="00742699"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742699"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742699"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0F441EC2" w:rsidR="00243FCA" w:rsidRPr="00243FCA" w:rsidRDefault="00CE0855" w:rsidP="00243FC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1 7</w:t>
            </w:r>
            <w:r w:rsidR="003A39E2">
              <w:rPr>
                <w:bCs/>
                <w:sz w:val="12"/>
                <w:szCs w:val="12"/>
              </w:rPr>
              <w:t>54</w:t>
            </w:r>
            <w:r>
              <w:rPr>
                <w:bCs/>
                <w:sz w:val="12"/>
                <w:szCs w:val="12"/>
              </w:rPr>
              <w:t> </w:t>
            </w:r>
            <w:r w:rsidR="003A39E2">
              <w:rPr>
                <w:bCs/>
                <w:sz w:val="12"/>
                <w:szCs w:val="12"/>
              </w:rPr>
              <w:t>182</w:t>
            </w:r>
            <w:r>
              <w:rPr>
                <w:bCs/>
                <w:sz w:val="12"/>
                <w:szCs w:val="12"/>
              </w:rPr>
              <w:t>,</w:t>
            </w:r>
            <w:r w:rsidR="00C10D02">
              <w:rPr>
                <w:bCs/>
                <w:sz w:val="12"/>
                <w:szCs w:val="12"/>
              </w:rPr>
              <w:t>1</w:t>
            </w:r>
            <w:r w:rsidR="003A39E2">
              <w:rPr>
                <w:bCs/>
                <w:sz w:val="12"/>
                <w:szCs w:val="12"/>
              </w:rPr>
              <w:t>961</w:t>
            </w:r>
            <w:r w:rsidR="00C10D02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516" w:type="pct"/>
            <w:vAlign w:val="center"/>
          </w:tcPr>
          <w:p w14:paraId="23900486" w14:textId="4FAE4C52" w:rsidR="00243FCA" w:rsidRPr="00243FCA" w:rsidRDefault="00E85661" w:rsidP="00243FC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1 62</w:t>
            </w:r>
            <w:r w:rsidR="007B383F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 </w:t>
            </w:r>
            <w:r w:rsidR="007B383F">
              <w:rPr>
                <w:bCs/>
                <w:sz w:val="12"/>
                <w:szCs w:val="12"/>
              </w:rPr>
              <w:t>875</w:t>
            </w:r>
            <w:r>
              <w:rPr>
                <w:bCs/>
                <w:sz w:val="12"/>
                <w:szCs w:val="12"/>
              </w:rPr>
              <w:t>,</w:t>
            </w:r>
            <w:r w:rsidR="007B383F">
              <w:rPr>
                <w:bCs/>
                <w:sz w:val="12"/>
                <w:szCs w:val="12"/>
              </w:rPr>
              <w:t>97969</w:t>
            </w:r>
          </w:p>
        </w:tc>
        <w:tc>
          <w:tcPr>
            <w:tcW w:w="515" w:type="pct"/>
            <w:vAlign w:val="center"/>
          </w:tcPr>
          <w:p w14:paraId="670A59E6" w14:textId="0194F34E" w:rsidR="00243FCA" w:rsidRPr="00243FCA" w:rsidRDefault="00E85661" w:rsidP="00243FCA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1 6</w:t>
            </w:r>
            <w:r w:rsidR="007B383F">
              <w:rPr>
                <w:bCs/>
                <w:sz w:val="12"/>
                <w:szCs w:val="12"/>
              </w:rPr>
              <w:t>59</w:t>
            </w:r>
            <w:r>
              <w:rPr>
                <w:bCs/>
                <w:sz w:val="12"/>
                <w:szCs w:val="12"/>
              </w:rPr>
              <w:t> </w:t>
            </w:r>
            <w:r w:rsidR="007B383F">
              <w:rPr>
                <w:bCs/>
                <w:sz w:val="12"/>
                <w:szCs w:val="12"/>
              </w:rPr>
              <w:t>052</w:t>
            </w:r>
            <w:r>
              <w:rPr>
                <w:bCs/>
                <w:sz w:val="12"/>
                <w:szCs w:val="12"/>
              </w:rPr>
              <w:t>,</w:t>
            </w:r>
            <w:r w:rsidR="007B383F">
              <w:rPr>
                <w:bCs/>
                <w:sz w:val="12"/>
                <w:szCs w:val="12"/>
              </w:rPr>
              <w:t>59769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243FCA" w:rsidRDefault="00243FCA" w:rsidP="00243FCA">
            <w:pPr>
              <w:jc w:val="center"/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1CC46DFF" w:rsidR="00243FCA" w:rsidRPr="00243FCA" w:rsidRDefault="00E85661" w:rsidP="00243FCA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</w:t>
            </w:r>
            <w:r w:rsidR="00CE0855">
              <w:rPr>
                <w:bCs/>
                <w:sz w:val="12"/>
                <w:szCs w:val="12"/>
              </w:rPr>
              <w:t> </w:t>
            </w:r>
            <w:r w:rsidR="003A39E2">
              <w:rPr>
                <w:bCs/>
                <w:sz w:val="12"/>
                <w:szCs w:val="12"/>
              </w:rPr>
              <w:t>486</w:t>
            </w:r>
            <w:r w:rsidR="00CE0855">
              <w:rPr>
                <w:bCs/>
                <w:sz w:val="12"/>
                <w:szCs w:val="12"/>
              </w:rPr>
              <w:t> </w:t>
            </w:r>
            <w:r w:rsidR="003A39E2">
              <w:rPr>
                <w:bCs/>
                <w:sz w:val="12"/>
                <w:szCs w:val="12"/>
              </w:rPr>
              <w:t>060</w:t>
            </w:r>
            <w:r w:rsidR="00CE0855">
              <w:rPr>
                <w:bCs/>
                <w:sz w:val="12"/>
                <w:szCs w:val="12"/>
              </w:rPr>
              <w:t>,</w:t>
            </w:r>
            <w:r w:rsidR="003A39E2">
              <w:rPr>
                <w:bCs/>
                <w:sz w:val="12"/>
                <w:szCs w:val="12"/>
              </w:rPr>
              <w:t>17172</w:t>
            </w:r>
          </w:p>
        </w:tc>
      </w:tr>
      <w:tr w:rsidR="00742699" w:rsidRPr="00E30DE7" w14:paraId="69FBFEBF" w14:textId="77777777" w:rsidTr="00243FCA">
        <w:trPr>
          <w:trHeight w:val="20"/>
        </w:trPr>
        <w:tc>
          <w:tcPr>
            <w:tcW w:w="626" w:type="pct"/>
            <w:vMerge/>
          </w:tcPr>
          <w:p w14:paraId="7E5180EB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17CBA7C4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77C50E9F" w:rsidR="00742699" w:rsidRPr="004E2AB9" w:rsidRDefault="00343EF7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</w:t>
            </w:r>
            <w:r w:rsidR="003A39E2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> </w:t>
            </w:r>
            <w:r w:rsidR="003A39E2">
              <w:rPr>
                <w:sz w:val="12"/>
                <w:szCs w:val="12"/>
              </w:rPr>
              <w:t>779</w:t>
            </w:r>
            <w:r>
              <w:rPr>
                <w:sz w:val="12"/>
                <w:szCs w:val="12"/>
              </w:rPr>
              <w:t>,</w:t>
            </w:r>
            <w:r w:rsidR="003A39E2">
              <w:rPr>
                <w:sz w:val="12"/>
                <w:szCs w:val="12"/>
              </w:rPr>
              <w:t>79696</w:t>
            </w:r>
          </w:p>
        </w:tc>
        <w:tc>
          <w:tcPr>
            <w:tcW w:w="516" w:type="pct"/>
            <w:vAlign w:val="center"/>
          </w:tcPr>
          <w:p w14:paraId="11D58F99" w14:textId="619328FA" w:rsidR="00742699" w:rsidRPr="004E2AB9" w:rsidRDefault="00CE0855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CE0855">
              <w:rPr>
                <w:sz w:val="12"/>
                <w:szCs w:val="12"/>
              </w:rPr>
              <w:t>8</w:t>
            </w:r>
            <w:r w:rsidR="00165784">
              <w:rPr>
                <w:sz w:val="12"/>
                <w:szCs w:val="12"/>
              </w:rPr>
              <w:t>18 954</w:t>
            </w:r>
            <w:r w:rsidRPr="00CE0855">
              <w:rPr>
                <w:sz w:val="12"/>
                <w:szCs w:val="12"/>
              </w:rPr>
              <w:t>,</w:t>
            </w:r>
            <w:r w:rsidR="00165784">
              <w:rPr>
                <w:sz w:val="12"/>
                <w:szCs w:val="12"/>
              </w:rPr>
              <w:t>38101</w:t>
            </w:r>
          </w:p>
        </w:tc>
        <w:tc>
          <w:tcPr>
            <w:tcW w:w="515" w:type="pct"/>
            <w:vAlign w:val="center"/>
          </w:tcPr>
          <w:p w14:paraId="48F28AC4" w14:textId="0949243D" w:rsidR="00742699" w:rsidRPr="004E2AB9" w:rsidRDefault="004E2AB9" w:rsidP="0074269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85</w:t>
            </w:r>
            <w:r w:rsidR="00165784">
              <w:rPr>
                <w:bCs/>
                <w:sz w:val="12"/>
                <w:szCs w:val="12"/>
              </w:rPr>
              <w:t>5</w:t>
            </w:r>
            <w:r>
              <w:rPr>
                <w:bCs/>
                <w:sz w:val="12"/>
                <w:szCs w:val="12"/>
                <w:lang w:val="en-US"/>
              </w:rPr>
              <w:t xml:space="preserve"> </w:t>
            </w:r>
            <w:r w:rsidR="00165784">
              <w:rPr>
                <w:bCs/>
                <w:sz w:val="12"/>
                <w:szCs w:val="12"/>
              </w:rPr>
              <w:t>130</w:t>
            </w:r>
            <w:r w:rsidR="00742699" w:rsidRPr="00243FCA">
              <w:rPr>
                <w:bCs/>
                <w:sz w:val="12"/>
                <w:szCs w:val="12"/>
              </w:rPr>
              <w:t>,</w:t>
            </w:r>
            <w:r w:rsidR="00165784">
              <w:rPr>
                <w:bCs/>
                <w:sz w:val="12"/>
                <w:szCs w:val="12"/>
              </w:rPr>
              <w:t>99901</w:t>
            </w:r>
          </w:p>
        </w:tc>
        <w:tc>
          <w:tcPr>
            <w:tcW w:w="517" w:type="pct"/>
            <w:vAlign w:val="center"/>
          </w:tcPr>
          <w:p w14:paraId="1BC26529" w14:textId="547097B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0BAF9536" w14:textId="196064F0" w:rsidR="00742699" w:rsidRPr="004E2AB9" w:rsidRDefault="00CE0855" w:rsidP="00742699">
            <w:pPr>
              <w:rPr>
                <w:sz w:val="12"/>
                <w:szCs w:val="12"/>
                <w:lang w:val="en-US"/>
              </w:rPr>
            </w:pPr>
            <w:r w:rsidRPr="00CE0855">
              <w:rPr>
                <w:sz w:val="12"/>
                <w:szCs w:val="12"/>
              </w:rPr>
              <w:t>4 0</w:t>
            </w:r>
            <w:r w:rsidR="00343EF7">
              <w:rPr>
                <w:sz w:val="12"/>
                <w:szCs w:val="12"/>
              </w:rPr>
              <w:t>9</w:t>
            </w:r>
            <w:r w:rsidR="003A39E2">
              <w:rPr>
                <w:sz w:val="12"/>
                <w:szCs w:val="12"/>
              </w:rPr>
              <w:t>7</w:t>
            </w:r>
            <w:r w:rsidRPr="00CE0855">
              <w:rPr>
                <w:sz w:val="12"/>
                <w:szCs w:val="12"/>
                <w:lang w:val="en-US"/>
              </w:rPr>
              <w:t xml:space="preserve"> </w:t>
            </w:r>
            <w:r w:rsidR="003A39E2">
              <w:rPr>
                <w:sz w:val="12"/>
                <w:szCs w:val="12"/>
              </w:rPr>
              <w:t>744</w:t>
            </w:r>
            <w:r w:rsidRPr="00CE0855">
              <w:rPr>
                <w:sz w:val="12"/>
                <w:szCs w:val="12"/>
              </w:rPr>
              <w:t>,</w:t>
            </w:r>
            <w:r w:rsidR="007B02E9">
              <w:rPr>
                <w:sz w:val="12"/>
                <w:szCs w:val="12"/>
              </w:rPr>
              <w:t>39830</w:t>
            </w:r>
          </w:p>
        </w:tc>
      </w:tr>
      <w:tr w:rsidR="00742699" w:rsidRPr="00E30DE7" w14:paraId="73DC1B9D" w14:textId="77777777" w:rsidTr="00243FCA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6A53A27E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59D217A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214E6DBD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1 644 750,90600</w:t>
            </w:r>
          </w:p>
        </w:tc>
      </w:tr>
      <w:tr w:rsidR="00742699" w:rsidRPr="00E30DE7" w14:paraId="52159B5B" w14:textId="77777777" w:rsidTr="00243FCA">
        <w:trPr>
          <w:trHeight w:val="20"/>
        </w:trPr>
        <w:tc>
          <w:tcPr>
            <w:tcW w:w="626" w:type="pct"/>
            <w:vMerge/>
          </w:tcPr>
          <w:p w14:paraId="5E1C418E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7D0BD799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7270ACF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5</w:t>
            </w:r>
            <w:r w:rsidR="003A39E2">
              <w:rPr>
                <w:bCs/>
                <w:sz w:val="12"/>
                <w:szCs w:val="12"/>
              </w:rPr>
              <w:t>7</w:t>
            </w:r>
            <w:r w:rsidRPr="00243FCA">
              <w:rPr>
                <w:bCs/>
                <w:sz w:val="12"/>
                <w:szCs w:val="12"/>
              </w:rPr>
              <w:t> </w:t>
            </w:r>
            <w:r w:rsidR="003A39E2">
              <w:rPr>
                <w:bCs/>
                <w:sz w:val="12"/>
                <w:szCs w:val="12"/>
              </w:rPr>
              <w:t>830</w:t>
            </w:r>
            <w:r w:rsidRPr="00243FCA">
              <w:rPr>
                <w:bCs/>
                <w:sz w:val="12"/>
                <w:szCs w:val="12"/>
              </w:rPr>
              <w:t>,0</w:t>
            </w:r>
            <w:r w:rsidR="003A39E2">
              <w:rPr>
                <w:bCs/>
                <w:sz w:val="12"/>
                <w:szCs w:val="12"/>
              </w:rPr>
              <w:t>3977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1DB6452E" w:rsidR="00742699" w:rsidRPr="00742699" w:rsidRDefault="003A39E2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392 649,48556</w:t>
            </w:r>
          </w:p>
        </w:tc>
      </w:tr>
      <w:tr w:rsidR="00742699" w:rsidRPr="00E30DE7" w14:paraId="402DFA87" w14:textId="77777777" w:rsidTr="00243FCA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6C0F5A12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7</w:t>
            </w:r>
            <w:r w:rsidRPr="00742699">
              <w:rPr>
                <w:bCs/>
                <w:sz w:val="12"/>
                <w:szCs w:val="12"/>
                <w:lang w:val="en-US"/>
              </w:rPr>
              <w:t>3</w:t>
            </w:r>
            <w:r w:rsidRPr="00742699">
              <w:rPr>
                <w:bCs/>
                <w:sz w:val="12"/>
                <w:szCs w:val="12"/>
              </w:rPr>
              <w:t xml:space="preserve"> </w:t>
            </w:r>
            <w:r w:rsidRPr="00742699">
              <w:rPr>
                <w:bCs/>
                <w:sz w:val="12"/>
                <w:szCs w:val="12"/>
                <w:lang w:val="en-US"/>
              </w:rPr>
              <w:t>159</w:t>
            </w:r>
            <w:r w:rsidRPr="00742699">
              <w:rPr>
                <w:bCs/>
                <w:sz w:val="12"/>
                <w:szCs w:val="12"/>
              </w:rPr>
              <w:t>,</w:t>
            </w:r>
            <w:r w:rsidRPr="00742699">
              <w:rPr>
                <w:bCs/>
                <w:sz w:val="12"/>
                <w:szCs w:val="12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21BEF362" w:rsidR="00742699" w:rsidRPr="004E2AB9" w:rsidRDefault="00742699" w:rsidP="00742699">
            <w:pPr>
              <w:jc w:val="center"/>
              <w:rPr>
                <w:sz w:val="12"/>
                <w:szCs w:val="12"/>
                <w:lang w:val="en-US"/>
              </w:rPr>
            </w:pPr>
            <w:r w:rsidRPr="00243FCA">
              <w:rPr>
                <w:bCs/>
                <w:sz w:val="12"/>
                <w:szCs w:val="12"/>
              </w:rPr>
              <w:t xml:space="preserve">44 </w:t>
            </w:r>
            <w:r w:rsidR="004E2AB9">
              <w:rPr>
                <w:bCs/>
                <w:sz w:val="12"/>
                <w:szCs w:val="12"/>
                <w:lang w:val="en-US"/>
              </w:rPr>
              <w:t>3</w:t>
            </w:r>
            <w:r w:rsidR="003C6F6F">
              <w:rPr>
                <w:bCs/>
                <w:sz w:val="12"/>
                <w:szCs w:val="12"/>
              </w:rPr>
              <w:t>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3C6F6F">
              <w:rPr>
                <w:bCs/>
                <w:sz w:val="12"/>
                <w:szCs w:val="12"/>
              </w:rPr>
              <w:t>13282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00458C59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320</w:t>
            </w:r>
            <w:r w:rsidR="003C6F6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="003C6F6F">
              <w:rPr>
                <w:rFonts w:ascii="Times New Roman" w:hAnsi="Times New Roman" w:cs="Times New Roman"/>
                <w:sz w:val="12"/>
                <w:szCs w:val="12"/>
              </w:rPr>
              <w:t>740,11525</w:t>
            </w:r>
          </w:p>
        </w:tc>
      </w:tr>
      <w:tr w:rsidR="00742699" w:rsidRPr="00E30DE7" w14:paraId="5C5E1874" w14:textId="77777777" w:rsidTr="00243FCA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 xml:space="preserve">37 </w:t>
            </w:r>
            <w:r w:rsidRPr="00742699">
              <w:rPr>
                <w:bCs/>
                <w:sz w:val="12"/>
                <w:szCs w:val="12"/>
                <w:lang w:val="en-US"/>
              </w:rPr>
              <w:t>188</w:t>
            </w:r>
            <w:r w:rsidRPr="00742699">
              <w:rPr>
                <w:bCs/>
                <w:sz w:val="12"/>
                <w:szCs w:val="12"/>
              </w:rPr>
              <w:t>,</w:t>
            </w:r>
            <w:r w:rsidRPr="00742699">
              <w:rPr>
                <w:bCs/>
                <w:sz w:val="12"/>
                <w:szCs w:val="12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3FACA8F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5ED65A34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59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665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78051</w:t>
            </w:r>
          </w:p>
        </w:tc>
      </w:tr>
      <w:tr w:rsidR="00742699" w:rsidRPr="00E30DE7" w14:paraId="37DD33FD" w14:textId="77777777" w:rsidTr="00243FCA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29 </w:t>
            </w:r>
            <w:r w:rsidRPr="00742699">
              <w:rPr>
                <w:sz w:val="12"/>
                <w:szCs w:val="12"/>
                <w:lang w:val="en-US"/>
              </w:rPr>
              <w:t>848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62260E6B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147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240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37364</w:t>
            </w:r>
          </w:p>
        </w:tc>
      </w:tr>
      <w:tr w:rsidR="00742699" w:rsidRPr="00E30DE7" w14:paraId="7FBBBC54" w14:textId="77777777" w:rsidTr="00243FCA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28 5</w:t>
            </w:r>
            <w:r w:rsidRPr="00742699">
              <w:rPr>
                <w:sz w:val="12"/>
                <w:szCs w:val="12"/>
                <w:lang w:val="en-US"/>
              </w:rPr>
              <w:t>49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5AEFF2B0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132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326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36704</w:t>
            </w:r>
          </w:p>
        </w:tc>
      </w:tr>
      <w:tr w:rsidR="00742699" w:rsidRPr="00E30DE7" w14:paraId="603757EA" w14:textId="77777777" w:rsidTr="00243FCA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25 </w:t>
            </w:r>
            <w:r w:rsidRPr="00742699">
              <w:rPr>
                <w:sz w:val="12"/>
                <w:szCs w:val="12"/>
                <w:lang w:val="en-US"/>
              </w:rPr>
              <w:t>554</w:t>
            </w:r>
            <w:r w:rsidRPr="00742699">
              <w:rPr>
                <w:sz w:val="12"/>
                <w:szCs w:val="12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08F5BCA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69A3C4C6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855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,00000</w:t>
            </w:r>
          </w:p>
        </w:tc>
      </w:tr>
      <w:tr w:rsidR="00742699" w:rsidRPr="00E30DE7" w14:paraId="6D5D53A6" w14:textId="77777777" w:rsidTr="00243FCA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</w:t>
            </w:r>
            <w:r w:rsidRPr="00742699">
              <w:rPr>
                <w:sz w:val="12"/>
                <w:szCs w:val="12"/>
                <w:lang w:val="en-US"/>
              </w:rPr>
              <w:t>4</w:t>
            </w:r>
            <w:r w:rsidRPr="00742699">
              <w:rPr>
                <w:sz w:val="12"/>
                <w:szCs w:val="12"/>
              </w:rPr>
              <w:t xml:space="preserve"> </w:t>
            </w:r>
            <w:r w:rsidRPr="00742699">
              <w:rPr>
                <w:sz w:val="12"/>
                <w:szCs w:val="12"/>
                <w:lang w:val="en-US"/>
              </w:rPr>
              <w:t>750</w:t>
            </w:r>
            <w:r w:rsidRPr="00742699">
              <w:rPr>
                <w:sz w:val="12"/>
                <w:szCs w:val="12"/>
              </w:rPr>
              <w:t>,06</w:t>
            </w:r>
            <w:r w:rsidRPr="00742699">
              <w:rPr>
                <w:sz w:val="12"/>
                <w:szCs w:val="12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4647AA4C" w:rsidR="00742699" w:rsidRPr="004E2AB9" w:rsidRDefault="00CE0855" w:rsidP="00742699">
            <w:pPr>
              <w:jc w:val="center"/>
              <w:rPr>
                <w:sz w:val="12"/>
                <w:szCs w:val="12"/>
                <w:lang w:val="en-US"/>
              </w:rPr>
            </w:pPr>
            <w:r w:rsidRPr="00CE0855">
              <w:rPr>
                <w:sz w:val="12"/>
                <w:szCs w:val="12"/>
              </w:rPr>
              <w:t>2</w:t>
            </w:r>
            <w:r w:rsidR="003A39E2">
              <w:rPr>
                <w:sz w:val="12"/>
                <w:szCs w:val="12"/>
              </w:rPr>
              <w:t>1</w:t>
            </w:r>
            <w:r w:rsidRPr="00CE0855">
              <w:rPr>
                <w:sz w:val="12"/>
                <w:szCs w:val="12"/>
              </w:rPr>
              <w:t> </w:t>
            </w:r>
            <w:r w:rsidR="003A39E2">
              <w:rPr>
                <w:sz w:val="12"/>
                <w:szCs w:val="12"/>
              </w:rPr>
              <w:t>706</w:t>
            </w:r>
            <w:r w:rsidRPr="00CE0855">
              <w:rPr>
                <w:sz w:val="12"/>
                <w:szCs w:val="12"/>
              </w:rPr>
              <w:t>,</w:t>
            </w:r>
            <w:r w:rsidR="003A39E2">
              <w:rPr>
                <w:sz w:val="12"/>
                <w:szCs w:val="12"/>
              </w:rPr>
              <w:t>38333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0D4F766F" w:rsidR="00742699" w:rsidRPr="00742699" w:rsidRDefault="003A39E2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129 956,04474</w:t>
            </w:r>
          </w:p>
        </w:tc>
      </w:tr>
      <w:tr w:rsidR="00742699" w:rsidRPr="00E30DE7" w14:paraId="10E6A6D8" w14:textId="77777777" w:rsidTr="00243FCA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38 </w:t>
            </w:r>
            <w:r w:rsidRPr="00742699">
              <w:rPr>
                <w:sz w:val="12"/>
                <w:szCs w:val="12"/>
                <w:lang w:val="en-US"/>
              </w:rPr>
              <w:t>756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2ACABA09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184 1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42763</w:t>
            </w:r>
          </w:p>
        </w:tc>
      </w:tr>
      <w:tr w:rsidR="00742699" w:rsidRPr="00E30DE7" w14:paraId="37159756" w14:textId="77777777" w:rsidTr="00243FCA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</w:t>
            </w:r>
            <w:r w:rsidRPr="00742699">
              <w:rPr>
                <w:sz w:val="12"/>
                <w:szCs w:val="12"/>
                <w:lang w:val="en-US"/>
              </w:rPr>
              <w:t>2</w:t>
            </w:r>
            <w:r w:rsidRPr="00742699">
              <w:rPr>
                <w:sz w:val="12"/>
                <w:szCs w:val="12"/>
              </w:rPr>
              <w:t xml:space="preserve"> </w:t>
            </w:r>
            <w:r w:rsidRPr="00742699">
              <w:rPr>
                <w:sz w:val="12"/>
                <w:szCs w:val="12"/>
                <w:lang w:val="en-US"/>
              </w:rPr>
              <w:t>214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7C2822F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24 </w:t>
            </w:r>
            <w:r w:rsidR="003A39E2">
              <w:rPr>
                <w:sz w:val="12"/>
                <w:szCs w:val="12"/>
              </w:rPr>
              <w:t>626</w:t>
            </w:r>
            <w:r w:rsidRPr="00243FCA">
              <w:rPr>
                <w:sz w:val="12"/>
                <w:szCs w:val="12"/>
              </w:rPr>
              <w:t>,</w:t>
            </w:r>
            <w:r w:rsidR="003A39E2">
              <w:rPr>
                <w:sz w:val="12"/>
                <w:szCs w:val="12"/>
              </w:rPr>
              <w:t>04231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3F9B4C15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  <w:r w:rsidR="003A39E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3A39E2">
              <w:rPr>
                <w:rFonts w:ascii="Times New Roman" w:hAnsi="Times New Roman" w:cs="Times New Roman"/>
                <w:sz w:val="12"/>
                <w:szCs w:val="12"/>
              </w:rPr>
              <w:t>56227</w:t>
            </w:r>
          </w:p>
        </w:tc>
      </w:tr>
      <w:tr w:rsidR="00742699" w:rsidRPr="00E30DE7" w14:paraId="04AC1D21" w14:textId="77777777" w:rsidTr="00243FCA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20 </w:t>
            </w:r>
            <w:r w:rsidRPr="00742699">
              <w:rPr>
                <w:sz w:val="12"/>
                <w:szCs w:val="12"/>
                <w:lang w:val="en-US"/>
              </w:rPr>
              <w:t>322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4A40A00A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100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018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32856</w:t>
            </w:r>
          </w:p>
        </w:tc>
      </w:tr>
      <w:tr w:rsidR="00742699" w:rsidRPr="00E30DE7" w14:paraId="05D3FA1F" w14:textId="77777777" w:rsidTr="00243FCA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AAD7C49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5E70BEA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147 0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50,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20855</w:t>
            </w:r>
          </w:p>
        </w:tc>
      </w:tr>
      <w:tr w:rsidR="00742699" w:rsidRPr="00E30DE7" w14:paraId="1EC22EAD" w14:textId="77777777" w:rsidTr="00243FCA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 xml:space="preserve">Средства бюджета Одинцовского </w:t>
            </w:r>
            <w:r w:rsidRPr="00C76D93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lastRenderedPageBreak/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966B00D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122 067,60424</w:t>
            </w:r>
          </w:p>
        </w:tc>
      </w:tr>
      <w:tr w:rsidR="00742699" w:rsidRPr="00E30DE7" w14:paraId="40B839CE" w14:textId="77777777" w:rsidTr="00243FCA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5DBB54C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112 495,56100</w:t>
            </w:r>
          </w:p>
        </w:tc>
      </w:tr>
      <w:tr w:rsidR="00742699" w:rsidRPr="00E30DE7" w14:paraId="0DF523DB" w14:textId="77777777" w:rsidTr="00243FCA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Назарьевское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1A6FB47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111 316,57627</w:t>
            </w:r>
          </w:p>
        </w:tc>
      </w:tr>
      <w:tr w:rsidR="00742699" w:rsidRPr="00E30DE7" w14:paraId="2AC60530" w14:textId="77777777" w:rsidTr="00243FCA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3DD28D78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132 303,30200</w:t>
            </w:r>
          </w:p>
        </w:tc>
      </w:tr>
      <w:tr w:rsidR="00742699" w:rsidRPr="00E30DE7" w14:paraId="1702AAFE" w14:textId="77777777" w:rsidTr="00243FCA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38D9E42D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181 695,40000</w:t>
            </w:r>
          </w:p>
        </w:tc>
      </w:tr>
      <w:tr w:rsidR="00742699" w:rsidRPr="00E30DE7" w14:paraId="56A41D21" w14:textId="77777777" w:rsidTr="00243FCA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Часцовское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0D54E4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115 370,73016</w:t>
            </w:r>
          </w:p>
        </w:tc>
      </w:tr>
    </w:tbl>
    <w:p w14:paraId="2C997FB6" w14:textId="6C7AB2CE" w:rsidR="004E2AB9" w:rsidRPr="00C76D93" w:rsidRDefault="007B559F" w:rsidP="00C76D93">
      <w:pPr>
        <w:jc w:val="right"/>
        <w:rPr>
          <w:sz w:val="27"/>
          <w:szCs w:val="27"/>
        </w:rPr>
      </w:pPr>
      <w:r w:rsidRPr="00C76D93">
        <w:rPr>
          <w:sz w:val="27"/>
          <w:szCs w:val="27"/>
        </w:rPr>
        <w:t xml:space="preserve"> </w:t>
      </w:r>
      <w:r w:rsidR="00281CB4" w:rsidRPr="00C76D93">
        <w:rPr>
          <w:sz w:val="27"/>
          <w:szCs w:val="27"/>
        </w:rPr>
        <w:t xml:space="preserve"> »</w:t>
      </w:r>
      <w:r w:rsidR="007F1E3B" w:rsidRPr="00C76D93">
        <w:rPr>
          <w:sz w:val="27"/>
          <w:szCs w:val="27"/>
        </w:rPr>
        <w:t>;</w:t>
      </w:r>
    </w:p>
    <w:p w14:paraId="20C79A3A" w14:textId="1A5377E4" w:rsidR="007F354D" w:rsidRPr="00C76D93" w:rsidRDefault="00C10D02" w:rsidP="00AC1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59F" w:rsidRPr="00C76D93">
        <w:rPr>
          <w:sz w:val="28"/>
          <w:szCs w:val="28"/>
        </w:rPr>
        <w:t xml:space="preserve">) </w:t>
      </w:r>
      <w:r w:rsidR="00FF35CA" w:rsidRPr="00C76D93">
        <w:rPr>
          <w:sz w:val="28"/>
          <w:szCs w:val="28"/>
        </w:rPr>
        <w:t>п</w:t>
      </w:r>
      <w:r w:rsidR="007B559F" w:rsidRPr="00C76D93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7B559F" w:rsidRPr="00C76D93">
        <w:rPr>
          <w:sz w:val="28"/>
          <w:szCs w:val="28"/>
        </w:rPr>
        <w:t xml:space="preserve"> </w:t>
      </w:r>
      <w:r w:rsidR="00B1661C" w:rsidRPr="00C76D93">
        <w:rPr>
          <w:sz w:val="28"/>
          <w:szCs w:val="28"/>
        </w:rPr>
        <w:t>1</w:t>
      </w:r>
      <w:r w:rsidR="007B559F" w:rsidRPr="00C76D93">
        <w:rPr>
          <w:sz w:val="28"/>
          <w:szCs w:val="28"/>
        </w:rPr>
        <w:t xml:space="preserve"> к Муниципальной программе изложить в редакции согласно приложени</w:t>
      </w:r>
      <w:r>
        <w:rPr>
          <w:sz w:val="28"/>
          <w:szCs w:val="28"/>
        </w:rPr>
        <w:t>ю</w:t>
      </w:r>
      <w:r w:rsidR="00767228">
        <w:rPr>
          <w:sz w:val="28"/>
          <w:szCs w:val="28"/>
        </w:rPr>
        <w:t xml:space="preserve"> к</w:t>
      </w:r>
      <w:r w:rsidR="007B559F" w:rsidRPr="00C76D93">
        <w:rPr>
          <w:sz w:val="28"/>
          <w:szCs w:val="28"/>
        </w:rPr>
        <w:t xml:space="preserve"> настоящему постановлению.</w:t>
      </w:r>
    </w:p>
    <w:p w14:paraId="37F9276A" w14:textId="0F1D76DC" w:rsidR="00BC11EF" w:rsidRPr="00C76D93" w:rsidRDefault="004036AD" w:rsidP="00AC155C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EE6624" w:rsidRPr="00C76D93">
        <w:rPr>
          <w:sz w:val="28"/>
          <w:szCs w:val="28"/>
        </w:rPr>
        <w:t xml:space="preserve"> Опубликовать настоящее постановление на официальном сайте Одинцовского </w:t>
      </w:r>
      <w:r w:rsidR="0013788E" w:rsidRPr="00C76D93">
        <w:rPr>
          <w:sz w:val="28"/>
          <w:szCs w:val="28"/>
        </w:rPr>
        <w:t>городского округа</w:t>
      </w:r>
      <w:r w:rsidR="00DC2A46" w:rsidRPr="00C76D93">
        <w:rPr>
          <w:sz w:val="28"/>
          <w:szCs w:val="28"/>
        </w:rPr>
        <w:t xml:space="preserve"> Московской области</w:t>
      </w:r>
      <w:r w:rsidR="00EE6624" w:rsidRPr="00C76D93">
        <w:rPr>
          <w:sz w:val="28"/>
          <w:szCs w:val="28"/>
        </w:rPr>
        <w:t>.</w:t>
      </w:r>
    </w:p>
    <w:p w14:paraId="6C69E40C" w14:textId="7777777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 xml:space="preserve">3. </w:t>
      </w:r>
      <w:r w:rsidR="00554104" w:rsidRPr="00C76D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355E98B2" w14:textId="0BD52388" w:rsidR="00BC11EF" w:rsidRDefault="00BC11EF" w:rsidP="00FF35CA">
      <w:pPr>
        <w:jc w:val="both"/>
        <w:rPr>
          <w:sz w:val="28"/>
          <w:szCs w:val="28"/>
        </w:rPr>
      </w:pPr>
    </w:p>
    <w:p w14:paraId="0AC0CFEF" w14:textId="77777777" w:rsidR="00910FF0" w:rsidRPr="00E30DE7" w:rsidRDefault="00910FF0" w:rsidP="00FF35CA">
      <w:pPr>
        <w:jc w:val="both"/>
        <w:rPr>
          <w:sz w:val="28"/>
          <w:szCs w:val="28"/>
        </w:rPr>
      </w:pPr>
    </w:p>
    <w:p w14:paraId="6766CCE7" w14:textId="41D89C93" w:rsidR="00D954A9" w:rsidRPr="00E30DE7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5D5CA" w14:textId="1E0FA7EC" w:rsidR="00BE59BB" w:rsidRDefault="00BE59BB" w:rsidP="00FF35CA">
      <w:pPr>
        <w:tabs>
          <w:tab w:val="left" w:pos="2100"/>
        </w:tabs>
        <w:rPr>
          <w:sz w:val="28"/>
          <w:szCs w:val="28"/>
        </w:rPr>
      </w:pPr>
    </w:p>
    <w:p w14:paraId="59A9CEA4" w14:textId="62695579" w:rsidR="00E65C81" w:rsidRDefault="00E65C81" w:rsidP="00FF35CA">
      <w:pPr>
        <w:tabs>
          <w:tab w:val="left" w:pos="2100"/>
        </w:tabs>
        <w:rPr>
          <w:sz w:val="28"/>
          <w:szCs w:val="28"/>
        </w:rPr>
      </w:pPr>
    </w:p>
    <w:p w14:paraId="63A86102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4D9E8715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55B1060C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0341D6E6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0FDDF58C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5121B3FB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150296E7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1F63D2EB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539F4149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1F98650A" w14:textId="77777777" w:rsidR="00542680" w:rsidRPr="00E30DE7" w:rsidRDefault="00542680" w:rsidP="00FF35CA">
      <w:pPr>
        <w:jc w:val="both"/>
        <w:rPr>
          <w:sz w:val="28"/>
          <w:szCs w:val="28"/>
        </w:rPr>
      </w:pPr>
    </w:p>
    <w:p w14:paraId="3468EA1B" w14:textId="77777777" w:rsidR="001D7EC0" w:rsidRPr="00E30DE7" w:rsidRDefault="001D7EC0" w:rsidP="00FF35CA">
      <w:pPr>
        <w:rPr>
          <w:sz w:val="28"/>
          <w:szCs w:val="28"/>
        </w:rPr>
      </w:pPr>
      <w:r w:rsidRPr="00E30DE7">
        <w:rPr>
          <w:sz w:val="28"/>
          <w:szCs w:val="28"/>
        </w:rPr>
        <w:br w:type="page"/>
      </w: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lastRenderedPageBreak/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61811B13" w14:textId="77777777" w:rsidR="00A860D1" w:rsidRPr="00E30DE7" w:rsidRDefault="00A860D1" w:rsidP="00FF35CA">
      <w:pPr>
        <w:jc w:val="both"/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>Заместитель Главы Администрации</w:t>
      </w:r>
      <w:r w:rsidR="00E90F7E" w:rsidRPr="00E30DE7">
        <w:rPr>
          <w:bCs/>
          <w:iCs/>
          <w:sz w:val="28"/>
          <w:szCs w:val="28"/>
          <w:lang w:eastAsia="en-US"/>
        </w:rPr>
        <w:t xml:space="preserve"> </w:t>
      </w:r>
      <w:r w:rsidRPr="00E30DE7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14:paraId="30F89B71" w14:textId="23D87F05" w:rsidR="0094782B" w:rsidRPr="00E30DE7" w:rsidRDefault="00A860D1" w:rsidP="00FF35CA">
      <w:pPr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   </w:t>
      </w:r>
      <w:r w:rsidR="007F1E3B">
        <w:rPr>
          <w:bCs/>
          <w:iCs/>
          <w:sz w:val="28"/>
          <w:szCs w:val="28"/>
          <w:lang w:eastAsia="en-US"/>
        </w:rPr>
        <w:t xml:space="preserve">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</w:t>
      </w:r>
      <w:r w:rsidR="00DE7789">
        <w:rPr>
          <w:bCs/>
          <w:iCs/>
          <w:sz w:val="28"/>
          <w:szCs w:val="28"/>
          <w:lang w:eastAsia="en-US"/>
        </w:rPr>
        <w:t xml:space="preserve">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</w:t>
      </w:r>
      <w:r w:rsidRPr="00E30DE7">
        <w:rPr>
          <w:bCs/>
          <w:iCs/>
          <w:sz w:val="28"/>
          <w:szCs w:val="28"/>
          <w:lang w:eastAsia="en-US"/>
        </w:rPr>
        <w:t>А.А. Тесля</w:t>
      </w:r>
    </w:p>
    <w:p w14:paraId="03D5918E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333DA9DC" w14:textId="7F28523B" w:rsidR="0094782B" w:rsidRPr="00E30DE7" w:rsidRDefault="00AA1839" w:rsidP="00FF35CA">
      <w:pPr>
        <w:jc w:val="both"/>
        <w:rPr>
          <w:sz w:val="28"/>
          <w:szCs w:val="28"/>
        </w:rPr>
      </w:pPr>
      <w:bookmarkStart w:id="1" w:name="_Hlk43372042"/>
      <w:r>
        <w:rPr>
          <w:sz w:val="28"/>
          <w:szCs w:val="28"/>
        </w:rPr>
        <w:t>З</w:t>
      </w:r>
      <w:r w:rsidR="0094782B" w:rsidRPr="00E30D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4782B" w:rsidRPr="00E30DE7">
        <w:rPr>
          <w:sz w:val="28"/>
          <w:szCs w:val="28"/>
        </w:rPr>
        <w:t xml:space="preserve"> </w:t>
      </w:r>
      <w:r w:rsidR="009B46AA" w:rsidRPr="00E30DE7">
        <w:rPr>
          <w:sz w:val="28"/>
          <w:szCs w:val="28"/>
        </w:rPr>
        <w:t>Главы</w:t>
      </w:r>
      <w:r w:rsidR="003C3D85" w:rsidRPr="00E30DE7">
        <w:rPr>
          <w:sz w:val="28"/>
          <w:szCs w:val="28"/>
        </w:rPr>
        <w:t xml:space="preserve"> </w:t>
      </w:r>
      <w:r w:rsidR="00E90F7E" w:rsidRPr="00E30DE7">
        <w:rPr>
          <w:sz w:val="28"/>
          <w:szCs w:val="28"/>
        </w:rPr>
        <w:t>Администрации -</w:t>
      </w:r>
      <w:r w:rsidR="0094782B" w:rsidRPr="00E30DE7">
        <w:rPr>
          <w:sz w:val="28"/>
          <w:szCs w:val="28"/>
        </w:rPr>
        <w:t xml:space="preserve">                                   </w:t>
      </w:r>
    </w:p>
    <w:p w14:paraId="116D2823" w14:textId="20762B16" w:rsidR="00EB409C" w:rsidRDefault="0094782B" w:rsidP="00EB409C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t>начальник Финансово-казначейского управления</w:t>
      </w:r>
      <w:r w:rsidR="0052261C">
        <w:rPr>
          <w:bCs/>
          <w:iCs/>
          <w:sz w:val="28"/>
          <w:szCs w:val="28"/>
        </w:rPr>
        <w:t xml:space="preserve">                         </w:t>
      </w:r>
      <w:r w:rsidR="00DE7789">
        <w:rPr>
          <w:bCs/>
          <w:iCs/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</w:t>
      </w:r>
      <w:r w:rsidR="00CE3A95">
        <w:rPr>
          <w:bCs/>
          <w:iCs/>
          <w:sz w:val="28"/>
          <w:szCs w:val="28"/>
        </w:rPr>
        <w:t xml:space="preserve"> </w:t>
      </w:r>
      <w:bookmarkEnd w:id="1"/>
      <w:r w:rsidR="00DE7789">
        <w:rPr>
          <w:bCs/>
          <w:iCs/>
          <w:sz w:val="28"/>
          <w:szCs w:val="28"/>
        </w:rPr>
        <w:t xml:space="preserve"> </w:t>
      </w:r>
      <w:r w:rsidR="00AA1839">
        <w:rPr>
          <w:bCs/>
          <w:iCs/>
          <w:sz w:val="28"/>
          <w:szCs w:val="28"/>
        </w:rPr>
        <w:t>Л.В. Тарасова</w:t>
      </w:r>
    </w:p>
    <w:p w14:paraId="0445BBA9" w14:textId="77777777" w:rsidR="00EB409C" w:rsidRPr="00EB409C" w:rsidRDefault="00EB409C" w:rsidP="00EB409C">
      <w:pPr>
        <w:jc w:val="both"/>
        <w:rPr>
          <w:sz w:val="28"/>
          <w:szCs w:val="28"/>
        </w:rPr>
      </w:pPr>
    </w:p>
    <w:p w14:paraId="6D5D249D" w14:textId="0CA8FD0D" w:rsidR="0094782B" w:rsidRPr="00E30DE7" w:rsidRDefault="0094782B" w:rsidP="00EB409C">
      <w:pPr>
        <w:ind w:right="-2"/>
        <w:rPr>
          <w:bCs/>
          <w:iCs/>
          <w:sz w:val="28"/>
          <w:szCs w:val="28"/>
        </w:rPr>
      </w:pPr>
      <w:r w:rsidRPr="00E30DE7">
        <w:rPr>
          <w:bCs/>
          <w:iCs/>
          <w:sz w:val="28"/>
          <w:szCs w:val="28"/>
        </w:rPr>
        <w:t xml:space="preserve">Заместитель </w:t>
      </w:r>
      <w:r w:rsidR="00A860D1" w:rsidRPr="00E30DE7">
        <w:rPr>
          <w:bCs/>
          <w:iCs/>
          <w:sz w:val="28"/>
          <w:szCs w:val="28"/>
        </w:rPr>
        <w:t>Главы</w:t>
      </w:r>
      <w:r w:rsidRPr="00E30DE7">
        <w:rPr>
          <w:bCs/>
          <w:iCs/>
          <w:sz w:val="28"/>
          <w:szCs w:val="28"/>
        </w:rPr>
        <w:t xml:space="preserve"> Администрации                         </w:t>
      </w:r>
      <w:r w:rsidR="00A860D1" w:rsidRPr="00E30DE7">
        <w:rPr>
          <w:bCs/>
          <w:iCs/>
          <w:sz w:val="28"/>
          <w:szCs w:val="28"/>
        </w:rPr>
        <w:tab/>
      </w:r>
      <w:r w:rsidR="00A860D1" w:rsidRPr="00E30DE7">
        <w:rPr>
          <w:bCs/>
          <w:iCs/>
          <w:sz w:val="28"/>
          <w:szCs w:val="28"/>
        </w:rPr>
        <w:tab/>
        <w:t xml:space="preserve"> </w:t>
      </w:r>
      <w:r w:rsidR="007F1E3B">
        <w:rPr>
          <w:bCs/>
          <w:iCs/>
          <w:sz w:val="28"/>
          <w:szCs w:val="28"/>
        </w:rPr>
        <w:t xml:space="preserve"> </w:t>
      </w:r>
      <w:r w:rsidR="00DE7789">
        <w:rPr>
          <w:bCs/>
          <w:iCs/>
          <w:sz w:val="28"/>
          <w:szCs w:val="28"/>
        </w:rPr>
        <w:t xml:space="preserve"> </w:t>
      </w:r>
      <w:r w:rsidR="00B33B0C" w:rsidRPr="00E30DE7">
        <w:rPr>
          <w:bCs/>
          <w:iCs/>
          <w:sz w:val="28"/>
          <w:szCs w:val="28"/>
        </w:rPr>
        <w:t xml:space="preserve">    </w:t>
      </w:r>
      <w:r w:rsidRPr="00E30DE7">
        <w:rPr>
          <w:bCs/>
          <w:iCs/>
          <w:sz w:val="28"/>
          <w:szCs w:val="28"/>
        </w:rPr>
        <w:t>П.В. Кондрацкий</w:t>
      </w:r>
    </w:p>
    <w:p w14:paraId="5FA775AA" w14:textId="4D64F8FB" w:rsidR="00755012" w:rsidRDefault="00755012" w:rsidP="00FF35CA">
      <w:pPr>
        <w:jc w:val="both"/>
        <w:rPr>
          <w:sz w:val="28"/>
          <w:szCs w:val="28"/>
        </w:rPr>
      </w:pPr>
    </w:p>
    <w:p w14:paraId="4BBD343F" w14:textId="2CBA9313" w:rsidR="00DF1273" w:rsidRDefault="00DF1273" w:rsidP="00DF1273">
      <w:pPr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Главы </w:t>
      </w:r>
      <w:r w:rsidRPr="00BB7A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DE7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М.А. Бажанова</w:t>
      </w:r>
    </w:p>
    <w:p w14:paraId="35B08C1A" w14:textId="77777777" w:rsidR="00DF1273" w:rsidRPr="00E30DE7" w:rsidRDefault="00DF1273" w:rsidP="00FF35CA">
      <w:pPr>
        <w:jc w:val="both"/>
        <w:rPr>
          <w:sz w:val="28"/>
          <w:szCs w:val="28"/>
        </w:rPr>
      </w:pPr>
    </w:p>
    <w:p w14:paraId="3E1C326E" w14:textId="77777777" w:rsidR="0063067A" w:rsidRPr="0063067A" w:rsidRDefault="0063067A" w:rsidP="0063067A">
      <w:pPr>
        <w:jc w:val="both"/>
        <w:rPr>
          <w:sz w:val="28"/>
          <w:szCs w:val="28"/>
        </w:rPr>
      </w:pPr>
      <w:r w:rsidRPr="0063067A">
        <w:rPr>
          <w:sz w:val="28"/>
          <w:szCs w:val="28"/>
        </w:rPr>
        <w:t xml:space="preserve">Заместитель начальника </w:t>
      </w:r>
    </w:p>
    <w:p w14:paraId="06E6B04F" w14:textId="5AC78D10" w:rsidR="0094782B" w:rsidRPr="00E30DE7" w:rsidRDefault="0063067A" w:rsidP="0063067A">
      <w:pPr>
        <w:jc w:val="both"/>
        <w:rPr>
          <w:sz w:val="28"/>
          <w:szCs w:val="28"/>
        </w:rPr>
      </w:pPr>
      <w:r w:rsidRPr="0063067A">
        <w:rPr>
          <w:sz w:val="28"/>
          <w:szCs w:val="28"/>
        </w:rPr>
        <w:t>Управления правового обеспечения                                                 Л.Ю. Майорова</w:t>
      </w:r>
    </w:p>
    <w:p w14:paraId="5B067048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487E6BB7" w14:textId="77777777" w:rsidR="00764979" w:rsidRDefault="00764979" w:rsidP="00FF35CA">
      <w:pPr>
        <w:jc w:val="both"/>
        <w:rPr>
          <w:sz w:val="28"/>
          <w:szCs w:val="28"/>
        </w:rPr>
      </w:pPr>
    </w:p>
    <w:p w14:paraId="1A3DEE51" w14:textId="77777777" w:rsidR="0052261C" w:rsidRDefault="0052261C" w:rsidP="00FF35CA">
      <w:pPr>
        <w:jc w:val="both"/>
        <w:rPr>
          <w:sz w:val="28"/>
          <w:szCs w:val="28"/>
        </w:rPr>
      </w:pPr>
    </w:p>
    <w:p w14:paraId="54EC5C69" w14:textId="77777777" w:rsidR="0052261C" w:rsidRPr="00E30DE7" w:rsidRDefault="0052261C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0DE7" w:rsidRDefault="0094782B" w:rsidP="00FF35CA">
      <w:pPr>
        <w:jc w:val="both"/>
      </w:pPr>
    </w:p>
    <w:p w14:paraId="5842755D" w14:textId="1EE7DB4F" w:rsidR="0094782B" w:rsidRDefault="0094782B" w:rsidP="00FF35CA">
      <w:pPr>
        <w:jc w:val="both"/>
      </w:pPr>
    </w:p>
    <w:p w14:paraId="3FD52012" w14:textId="6E3C191E" w:rsidR="000315CB" w:rsidRDefault="000315CB" w:rsidP="00FF35CA">
      <w:pPr>
        <w:jc w:val="both"/>
      </w:pPr>
    </w:p>
    <w:p w14:paraId="129C9826" w14:textId="1C85B436" w:rsidR="000315CB" w:rsidRDefault="000315CB" w:rsidP="00FF35CA">
      <w:pPr>
        <w:jc w:val="both"/>
      </w:pPr>
    </w:p>
    <w:p w14:paraId="505F3D41" w14:textId="70BDC4F2" w:rsidR="000315CB" w:rsidRDefault="000315CB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7C49F30" w14:textId="2D1BCB95" w:rsidR="000315CB" w:rsidRDefault="000315CB" w:rsidP="00FF35CA">
      <w:pPr>
        <w:jc w:val="both"/>
      </w:pPr>
    </w:p>
    <w:p w14:paraId="1E5DD01F" w14:textId="1006098F" w:rsidR="000315CB" w:rsidRDefault="000315CB" w:rsidP="00FF35CA">
      <w:pPr>
        <w:jc w:val="both"/>
      </w:pPr>
    </w:p>
    <w:p w14:paraId="52A973B0" w14:textId="49C7FE61" w:rsidR="000315CB" w:rsidRDefault="000315CB" w:rsidP="00FF35CA">
      <w:pPr>
        <w:jc w:val="both"/>
      </w:pPr>
    </w:p>
    <w:p w14:paraId="1876A81B" w14:textId="4E68D102" w:rsidR="000315CB" w:rsidRDefault="000315CB" w:rsidP="00FF35CA">
      <w:pPr>
        <w:jc w:val="both"/>
      </w:pPr>
    </w:p>
    <w:p w14:paraId="26271345" w14:textId="441AF3DD" w:rsidR="003C6F6F" w:rsidRDefault="003C6F6F" w:rsidP="00FF35CA">
      <w:pPr>
        <w:jc w:val="both"/>
      </w:pPr>
    </w:p>
    <w:p w14:paraId="590A4F28" w14:textId="7B8BA49E" w:rsidR="003C6F6F" w:rsidRDefault="003C6F6F" w:rsidP="00FF35CA">
      <w:pPr>
        <w:jc w:val="both"/>
      </w:pPr>
    </w:p>
    <w:p w14:paraId="3737419A" w14:textId="5DDC82B1" w:rsidR="003C6F6F" w:rsidRDefault="003C6F6F" w:rsidP="00FF35CA">
      <w:pPr>
        <w:jc w:val="both"/>
      </w:pPr>
    </w:p>
    <w:p w14:paraId="636223B3" w14:textId="77777777" w:rsidR="003C6F6F" w:rsidRDefault="003C6F6F" w:rsidP="00FF35CA">
      <w:pPr>
        <w:jc w:val="both"/>
      </w:pPr>
    </w:p>
    <w:p w14:paraId="00200932" w14:textId="77777777" w:rsidR="000315CB" w:rsidRPr="00E30DE7" w:rsidRDefault="000315CB" w:rsidP="00FF35CA">
      <w:pPr>
        <w:jc w:val="both"/>
      </w:pPr>
    </w:p>
    <w:p w14:paraId="089D4588" w14:textId="77777777" w:rsidR="00EA2C90" w:rsidRPr="00E30DE7" w:rsidRDefault="00EA2C90" w:rsidP="00FF35CA">
      <w:pPr>
        <w:jc w:val="both"/>
      </w:pPr>
    </w:p>
    <w:p w14:paraId="14813698" w14:textId="19824537" w:rsidR="00EA2C90" w:rsidRDefault="00EA2C90" w:rsidP="00FF35CA">
      <w:pPr>
        <w:jc w:val="both"/>
      </w:pPr>
    </w:p>
    <w:p w14:paraId="61C28C8B" w14:textId="7F96AC20" w:rsidR="00F32149" w:rsidRDefault="00F32149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6CC9F797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AF23D4">
        <w:rPr>
          <w:sz w:val="22"/>
          <w:szCs w:val="22"/>
        </w:rPr>
        <w:t>М.И. Подстяжонок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41D81735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 xml:space="preserve">тел.  8 </w:t>
      </w:r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495</w:t>
      </w:r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59</w:t>
      </w:r>
      <w:r w:rsidR="00E10BBB">
        <w:rPr>
          <w:sz w:val="22"/>
          <w:szCs w:val="22"/>
        </w:rPr>
        <w:t>6</w:t>
      </w:r>
      <w:r w:rsidRPr="00E30DE7">
        <w:rPr>
          <w:sz w:val="22"/>
          <w:szCs w:val="22"/>
        </w:rPr>
        <w:t>-14-22</w:t>
      </w:r>
    </w:p>
    <w:sectPr w:rsidR="00E5014C" w:rsidRPr="00813F48" w:rsidSect="00F77205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FF60" w14:textId="77777777" w:rsidR="001A42FD" w:rsidRDefault="001A42FD">
      <w:r>
        <w:separator/>
      </w:r>
    </w:p>
  </w:endnote>
  <w:endnote w:type="continuationSeparator" w:id="0">
    <w:p w14:paraId="078C8061" w14:textId="77777777" w:rsidR="001A42FD" w:rsidRDefault="001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176" w14:textId="7C8AAA70" w:rsidR="00E65C81" w:rsidRDefault="00E65C81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E65C81" w:rsidRDefault="00E65C81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309" w14:textId="77777777" w:rsidR="00E65C81" w:rsidRDefault="00E65C81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4AE7" w14:textId="77777777" w:rsidR="001A42FD" w:rsidRDefault="001A42FD">
      <w:r>
        <w:separator/>
      </w:r>
    </w:p>
  </w:footnote>
  <w:footnote w:type="continuationSeparator" w:id="0">
    <w:p w14:paraId="4CB715DC" w14:textId="77777777" w:rsidR="001A42FD" w:rsidRDefault="001A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558979"/>
      <w:docPartObj>
        <w:docPartGallery w:val="Page Numbers (Top of Page)"/>
        <w:docPartUnique/>
      </w:docPartObj>
    </w:sdtPr>
    <w:sdtEndPr/>
    <w:sdtContent>
      <w:p w14:paraId="6489C7B3" w14:textId="7E12477D" w:rsidR="00DD0113" w:rsidRDefault="00DD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2A">
          <w:rPr>
            <w:noProof/>
          </w:rPr>
          <w:t>2</w:t>
        </w:r>
        <w:r>
          <w:fldChar w:fldCharType="end"/>
        </w:r>
      </w:p>
    </w:sdtContent>
  </w:sdt>
  <w:p w14:paraId="0465DAB8" w14:textId="77777777" w:rsidR="00E65C81" w:rsidRDefault="00E65C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673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6F2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3EF7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9E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2AB9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228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2E2"/>
    <w:rsid w:val="00C73ABE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998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E7789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60B5"/>
    <w:rsid w:val="00FD732C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5A90624C-1B4C-4702-9A85-62E7C3ED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FACF-B85D-429F-A9A1-F70F739B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Подстяжонок Михаил Игоревич</cp:lastModifiedBy>
  <cp:revision>112</cp:revision>
  <cp:lastPrinted>2021-07-15T08:49:00Z</cp:lastPrinted>
  <dcterms:created xsi:type="dcterms:W3CDTF">2020-08-04T12:02:00Z</dcterms:created>
  <dcterms:modified xsi:type="dcterms:W3CDTF">2021-07-15T08:50:00Z</dcterms:modified>
</cp:coreProperties>
</file>