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81F20" w14:textId="77777777" w:rsidR="009F5499" w:rsidRPr="00860DED" w:rsidRDefault="009F5499">
      <w:pPr>
        <w:pStyle w:val="2"/>
        <w:shd w:val="clear" w:color="auto" w:fill="auto"/>
        <w:spacing w:after="0"/>
        <w:ind w:left="5240" w:right="20"/>
        <w:jc w:val="right"/>
        <w:rPr>
          <w:rStyle w:val="11"/>
          <w:color w:val="auto"/>
        </w:rPr>
      </w:pPr>
    </w:p>
    <w:p w14:paraId="26BED5A9" w14:textId="2727BB5D" w:rsidR="009F5499" w:rsidRPr="00860DED" w:rsidRDefault="00860DED" w:rsidP="009F5499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ПРОЕКТ</w:t>
      </w:r>
      <w:bookmarkStart w:id="0" w:name="_GoBack"/>
      <w:bookmarkEnd w:id="0"/>
    </w:p>
    <w:p w14:paraId="02176F5E" w14:textId="77777777" w:rsid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</w:p>
    <w:p w14:paraId="4B1B6911" w14:textId="77777777" w:rsidR="00E078FA" w:rsidRPr="003307AF" w:rsidRDefault="00E078F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</w:p>
    <w:p w14:paraId="58181AC0" w14:textId="77777777"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C71B09" w14:textId="77777777"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64E63D" w14:textId="77777777"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3307A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14:paraId="2DE16DF4" w14:textId="77777777"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14:paraId="3C440188" w14:textId="77777777"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14:paraId="17FB9AB8" w14:textId="77777777"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DA3FBA" w14:textId="77777777" w:rsidR="001A2549" w:rsidRDefault="001A2549" w:rsidP="00390CDE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9CBC386" w14:textId="77777777" w:rsidR="003307AF" w:rsidRPr="001A5825" w:rsidRDefault="003307AF" w:rsidP="00FA3C10">
      <w:pPr>
        <w:widowControl w:val="0"/>
        <w:shd w:val="clear" w:color="auto" w:fill="FFFFFF"/>
        <w:spacing w:line="322" w:lineRule="exact"/>
        <w:ind w:right="4296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A3360FE" w14:textId="1E3FEB58" w:rsidR="00F84BB3" w:rsidRDefault="00AD0CBF" w:rsidP="008663C2">
      <w:pPr>
        <w:widowControl w:val="0"/>
        <w:shd w:val="clear" w:color="auto" w:fill="FFFFFF"/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0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</w:t>
      </w:r>
      <w:r w:rsidR="00F84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предоставления и расходования субсидий из бюджета Одинцовского городского округа муниципальным дошкольным и общеобразовательным организациям, расположенным на территории Одинцовского городского округа Московской области, на финансовое обеспечение государственных гарантий реализации прав граждан на образование, утвержденный постановлением Администрации Одинцовского городского округа Московской области от 28.09.2020 №2489</w:t>
      </w:r>
    </w:p>
    <w:p w14:paraId="2419AB1D" w14:textId="77777777" w:rsidR="003307AF" w:rsidRDefault="003307AF" w:rsidP="008663C2">
      <w:pPr>
        <w:widowControl w:val="0"/>
        <w:shd w:val="clear" w:color="auto" w:fill="FFFFFF"/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7C64564" w14:textId="77777777" w:rsidR="00AD0CBF" w:rsidRPr="001A5825" w:rsidRDefault="00AD0CBF" w:rsidP="008663C2">
      <w:pPr>
        <w:widowControl w:val="0"/>
        <w:shd w:val="clear" w:color="auto" w:fill="FFFFFF"/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53C22BF" w14:textId="1543A1E8" w:rsidR="00FF06B5" w:rsidRDefault="00F84BB3" w:rsidP="008663C2">
      <w:pPr>
        <w:widowControl w:val="0"/>
        <w:shd w:val="clear" w:color="auto" w:fill="FFFFFF"/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4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29.12.2012 № 273-ФЗ «Об образовании в Российской Федерации», Законами </w:t>
      </w:r>
      <w:r w:rsidR="004314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Московской области от 04.12.2019</w:t>
      </w:r>
      <w:r w:rsidRPr="00F84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314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253/2019</w:t>
      </w:r>
      <w:r w:rsidRPr="00F84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-ОЗ                         «О межбюджетных отношениях в Московской области», от 27.07.2013                               № 94/2013-ОЗ «Об образовании»,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образования», постановлениями Правительства Московской области от 30.12.2019 № 1064/45 «О порядке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образования»</w:t>
      </w:r>
      <w:r w:rsidR="0005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4746" w:rsidRPr="0005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30.07.2019 №460/25 «О системе персонифицированного финансирования дополнительного образования детей в Московской области»</w:t>
      </w:r>
      <w:r w:rsidRPr="00F84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40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приведения в соответствие с действующим законодательством,</w:t>
      </w:r>
    </w:p>
    <w:p w14:paraId="6F0DB208" w14:textId="77777777" w:rsidR="0056756C" w:rsidRDefault="0056756C" w:rsidP="008663C2">
      <w:pPr>
        <w:widowControl w:val="0"/>
        <w:shd w:val="clear" w:color="auto" w:fill="FFFFFF"/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73C308" w14:textId="77777777" w:rsidR="003307AF" w:rsidRPr="005B5749" w:rsidRDefault="003307AF" w:rsidP="008663C2">
      <w:pPr>
        <w:spacing w:line="27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14:paraId="230DF9ED" w14:textId="77777777" w:rsidR="003307AF" w:rsidRPr="005B5749" w:rsidRDefault="003307AF" w:rsidP="008663C2">
      <w:pPr>
        <w:widowControl w:val="0"/>
        <w:shd w:val="clear" w:color="auto" w:fill="FFFFFF"/>
        <w:tabs>
          <w:tab w:val="left" w:pos="851"/>
        </w:tabs>
        <w:spacing w:line="278" w:lineRule="auto"/>
        <w:ind w:left="542" w:righ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393EB0" w14:textId="71F76A49" w:rsidR="00F84BB3" w:rsidRDefault="003307AF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30E12"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F84BB3" w:rsidRPr="00F84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и расходования субсидий из бюджета Одинцовского городского округа муниципальным дошкольным и </w:t>
      </w:r>
      <w:r w:rsidR="00F84BB3" w:rsidRPr="00F84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общеобразовательным организациям, расположенным на территории Одинцовского городского округа Московской области, на финансовое обеспечение государственных гарантий реализации прав граждан на образование, утвержденный постановлением Администрации Одинцовского городского округа Московской области от 28.09.2020 №2489</w:t>
      </w:r>
      <w:r w:rsidR="00F84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Порядок), следующие изменения:</w:t>
      </w:r>
    </w:p>
    <w:p w14:paraId="3C97D9F5" w14:textId="78C7E08A" w:rsidR="005C1DF4" w:rsidRDefault="00F84BB3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604B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1 Порядка изложить в следующей редакции:</w:t>
      </w:r>
    </w:p>
    <w:p w14:paraId="2301762F" w14:textId="04AC9823" w:rsidR="005C1DF4" w:rsidRDefault="00356317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C1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условия предоставления, направления и условия расходования субсидий из бюджета Одинцовского городского округа Московской </w:t>
      </w:r>
      <w:r w:rsidR="005C1DF4" w:rsidRPr="008663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 (далее – бюджет округа)</w:t>
      </w:r>
      <w:r w:rsidR="005C1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DF4" w:rsidRPr="005C1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</w:t>
      </w:r>
      <w:r w:rsidR="00525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льных организациях</w:t>
      </w:r>
      <w:r w:rsidR="005C1DF4" w:rsidRPr="005C1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общедоступного и бесплатного дошкольного, начального общего, основного общег</w:t>
      </w:r>
      <w:r w:rsidR="005C1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о, среднего общего образования </w:t>
      </w:r>
      <w:r w:rsidR="005C1DF4" w:rsidRPr="005C1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муниципальных общеобразовательных организациях</w:t>
      </w:r>
      <w:r w:rsidR="00525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1DF4" w:rsidRPr="005C1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</w:r>
      <w:r w:rsidR="005C1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 и оплату коммунальных услуг</w:t>
      </w:r>
      <w:r w:rsidR="005C1DF4" w:rsidRPr="008663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(далее – субсидии в сфере образования)</w:t>
      </w:r>
      <w:r w:rsidR="00525912" w:rsidRPr="008663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25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Одинцовском городском округе Московской области</w:t>
      </w:r>
      <w:r w:rsidR="005C1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FE6962D" w14:textId="1560EB29" w:rsidR="00831889" w:rsidRDefault="00831889" w:rsidP="00482E2E">
      <w:pPr>
        <w:spacing w:line="27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Субсидии в сфере образования расходуются </w:t>
      </w: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предоставление муниципальным бюджетным и автономным дошкольны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образовательным организациям </w:t>
      </w: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муниципальным бюджетным и автономным общеобразовательным организациям субсидий на финансовое обеспечение вып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олнения муниципального задания </w:t>
      </w: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субсидий на иные цели, финансовое обеспечение деятельности муниципальных казенных общеобразовательных организаций на основании бюджетных смет</w:t>
      </w:r>
      <w:r w:rsidR="00482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части муниципальных дошкольных образовательных организаций на:</w:t>
      </w:r>
    </w:p>
    <w:p w14:paraId="31074CCE" w14:textId="25BD6285" w:rsidR="00831889" w:rsidRDefault="00831889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оплату труда и начисления на выплаты по оплате труда педагогических работников, учебно-вспомогательного и прочего персонала, перечень должностей которых установлен законом Московской области о финансовом обеспечении государственных гарантий реализации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 на получение общедоступного </w:t>
      </w: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</w:t>
      </w: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организациях в Московской области за счет средств бюджета Московской области на соответствующий финансовый год и плановый период (далее - закон Московской области о финансовом обеспечении дошкольного и общего образования), в соответствии с нормативными правовыми актами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оплате труда работников образовательных организаций, включая пособие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 случаев на производстве и профессиональных заболеваний), оплату дополнительных выходных дней в месяц родителю (опекуну, попечителю) для ухода за детьми-инвалидами, ежемесячные компенсационные выплаты в размере 50 рублей работнику, находящемуся в отпуске по уходу за ребенком до достижения им возраста 3 лет, назначаемые и выплачиваемые в соответствии с постановлением Правительства Российской Федерации от 19.11.2020 № 1884 «О признании утратившими силу некоторых актов и отдельных положений некоторых актов Правительства Российской Федерации» (далее – постановление Правительства Российской Федерации от 19.11.2020 № 1884);</w:t>
      </w:r>
    </w:p>
    <w:p w14:paraId="6D795A83" w14:textId="4BD5B9DE" w:rsidR="00831889" w:rsidRDefault="00831889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1889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приобретение учебников в печатной и (или) электронной форме (включая лицензию на электронные формы учебников) и учебных пособий, средств обучения, игр, игрушек;</w:t>
      </w:r>
    </w:p>
    <w:p w14:paraId="61484B52" w14:textId="19CD7097" w:rsidR="00831889" w:rsidRDefault="00831889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части муниципальных общеобразовательных организаций на:</w:t>
      </w:r>
    </w:p>
    <w:p w14:paraId="79652200" w14:textId="5D2885AB" w:rsidR="00831889" w:rsidRDefault="00831889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оплату труда и начисления на выплаты по оплате труда педагогических работников, административно-хозяйственных, учебно-вспомогательных и иных работников, осуществляющих вспомогательные функции, перечень должностей которых установлен законом Московской области о финансовом обеспечении дошкольного и общего образования, в соответствии с нормативными правовыми актами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Московской области </w:t>
      </w: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оплате труда работников образовательных организаций, включая пособие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астных случаев на производстве </w:t>
      </w: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профессиональных заболеваний), оплату дополнительных выходных дней в месяц родителю (опекуну, попечителю) для ухода за детьми-инвалидами, ежемесячные компенсационные выплаты в размере 50 рублей работнику, находящемуся в отпуске по уходу за ребенком до достижения им возраста 3 лет, назначаемые и выплачиваемые в соответствии с постановлением Правительства Российской Федерации от 19.11.2020 № 1884;</w:t>
      </w:r>
    </w:p>
    <w:p w14:paraId="769CE089" w14:textId="247DA807" w:rsidR="00831889" w:rsidRDefault="00831889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приобретение учебников в печатной и (или) электронной форме (включая лицензию на электронные формы учебников) и учебных пособий, средств обучения, игр, игрушек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перечнем средств обучения </w:t>
      </w:r>
      <w:r w:rsidR="005A0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реализации образовательных программ начального общего, основного обще</w:t>
      </w:r>
      <w:r w:rsidR="00A40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го, среднего общего образования, </w:t>
      </w:r>
      <w:r w:rsidR="005A0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утвержденным Министерством образования </w:t>
      </w:r>
      <w:r w:rsidR="005A0A5C" w:rsidRPr="008663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Московской области</w:t>
      </w:r>
      <w:r w:rsidR="008663C2" w:rsidRPr="008663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89D3163" w14:textId="24C45109" w:rsidR="005A0A5C" w:rsidRDefault="005A0A5C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0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оплату услуг по неограниченному широкополосному круглосуточному доступу к информационно-телекоммуникационной сети Интернет муниципальных общеобразовательных организаций, реализующих основные общеобразовательные программы, в части обучения детей-инвалидов на дому с использованием дистанционных образовательных технологий;</w:t>
      </w:r>
    </w:p>
    <w:p w14:paraId="1A657F38" w14:textId="079EC60B" w:rsidR="005A0A5C" w:rsidRDefault="005A0A5C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0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выплату компенсаций и начислений на компенсации работникам, привлекаемым к проведению государственной итоговой аттестации обучающихся, освоивших образовательные программы основного общего и среднего общего образования (далее – ГИА), в рабочее время и освобожденным от основной работы на период проведения ГИА, за работу по подготовке и проведению ГИА в пунктах проведения экзаменов, должности которых установлены Законом Московской области № 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 (далее – Закон Московской области № 147/2013-ОЗ);</w:t>
      </w:r>
    </w:p>
    <w:p w14:paraId="71204F43" w14:textId="3B9C2828" w:rsidR="005A0A5C" w:rsidRDefault="005A0A5C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0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ежемесячное денежное вознаграждение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начисления на вознаграждение </w:t>
      </w:r>
      <w:r w:rsidRPr="005A0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классное руководство педагогическим работникам муниципальных общеобразовательных организаций, реализующих программы начального общего, основного общего, среднего общего образования;</w:t>
      </w:r>
    </w:p>
    <w:p w14:paraId="2DB39C57" w14:textId="7CF0672C" w:rsidR="005A0A5C" w:rsidRDefault="005A0A5C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0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выплату пособия педагогическим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никам муниципальных дошкольных </w:t>
      </w:r>
      <w:r w:rsidRPr="005A0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общеобразовательных организаций в Московской области - молодым специалистам;</w:t>
      </w:r>
    </w:p>
    <w:p w14:paraId="250C0A7E" w14:textId="65B2F7E9" w:rsidR="00831889" w:rsidRDefault="00776644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финансовое обеспечение оказания муни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ципальных услуг в части затрат </w:t>
      </w:r>
      <w:r w:rsidRPr="0077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оплату труда педагогических работников, реализующих дополнительные общеразвивающие программы, которое осуществляется в рамках системы персонифицированного финансирования дополнительного образования детей в муниципальных общеобразовательных организациях (за исключением муниципальных казенных общеобразовательных организаций, муниципальных общеобразовательных организаций, имеющих интернат, малокомплектных муниципальных общеобразовательных организаций), утвержденной постановлением Правительства Московской области от </w:t>
      </w:r>
      <w:r w:rsidRPr="0077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30.07.2019 № 460/25 «О системе персонифицированного финансирования дополнительного образования детей в Московской области» (далее – правила персонифицированного финансирования), за счет средств бюджета Московской области на соответствующий финансовый год, в соответствии с нормативными правовыми актами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Одинцовского городского округа Московской области</w:t>
      </w:r>
      <w:r w:rsidRPr="0077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устанавливающими правила персонифицированн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финансирования на территории Одинцовского городского округа Московской области</w:t>
      </w:r>
      <w:r w:rsidRPr="007766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программу персонифицированного финансирования дополнительного образования детей, размер нормативных затрат на оказание услуг по реализации дополнительных общеразвивающих программ в рамках системы персонифицированного финансирования дополнительного образования детей.</w:t>
      </w:r>
    </w:p>
    <w:p w14:paraId="1DDDA5C6" w14:textId="2B9CD05B" w:rsidR="00776644" w:rsidRDefault="00776644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Одинцовского городского округа предусматривает муниципальные гарантии обеспечения персонифицированного финансирования дополнительного образования детей в муниципальных общеобразовательных организация </w:t>
      </w:r>
      <w:r w:rsidRPr="008663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бюджете округа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соответствующий финансовый год и плановый период в рамках финансового обеспечения мероприятия «Обеспечение функционирования модели персонифицированного финансирования дополнительного образования детей», дополняя объем бюджетных ассигнований </w:t>
      </w:r>
      <w:r w:rsidR="008B6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бюджета округа соответствующим объемом средств субвенции из бюджета Московской области.</w:t>
      </w:r>
    </w:p>
    <w:p w14:paraId="39F1EE67" w14:textId="06EFDC2B" w:rsidR="008B69FF" w:rsidRDefault="00CC0241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наличии экономии:</w:t>
      </w:r>
    </w:p>
    <w:p w14:paraId="3ADE13DF" w14:textId="5B44171F" w:rsidR="00CC0241" w:rsidRDefault="00CC0241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 субвенции на оплату труда и начисления на выплаты по оплате труда учебно-вспомогательного и прочего персонала муниципальных дошкольных образовательных организаций могут быть направлены на оплату труда и начисления на выплаты по оплате труда педагогических работников муниципальных дошкольных общеобразовательных организаций;</w:t>
      </w:r>
    </w:p>
    <w:p w14:paraId="5E37F5AC" w14:textId="18F18FA0" w:rsidR="00CC0241" w:rsidRDefault="00CC0241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 субвенци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 оплату труда и начисления </w:t>
      </w:r>
      <w:r w:rsidRPr="00CC0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выплаты по оплате труда административно-хозяйственных, учебно-вспомогательных и иных работников, осуществляющих вспомогательные функции, обеспечивающих реализацию образовательных программ начального общего, основного общего, среднего общего образования в муниципальных общеобразовательных организациях, могут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ыть направлены на оплату труда </w:t>
      </w:r>
      <w:r w:rsidRPr="00CC0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начисления на выплаты по оплате труда педагогических работников, обеспечивающих реализацию образовательных программ начального общего, основного общего, среднего общего образования в муниципальных общеобразовательных организациях;</w:t>
      </w:r>
    </w:p>
    <w:p w14:paraId="23D8B987" w14:textId="4783D9D6" w:rsidR="00CC0241" w:rsidRDefault="009845AE" w:rsidP="008663C2">
      <w:pPr>
        <w:spacing w:line="27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45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средства субвенции на оплату труда и начисления на выплаты по оплате труда административно-хозяйственных, учебно-вспомогательных и иных работников, осуществляющих вспомогательные функции, обеспечивающих реализацию дополнительных общеразвивающих программ в муниципальных общеобразовательных организациях, могут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ыть направлены на оплату труда </w:t>
      </w:r>
      <w:r w:rsidRPr="009845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начисления на выплаты по оплате труда педагогических работников, обеспечивающих реализацию дополнительных общеразвивающих программ в муниципальных общеобразовательных организациях.</w:t>
      </w:r>
      <w:r w:rsidR="003563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3A5A7241" w14:textId="7AF8BD7F" w:rsidR="00033A81" w:rsidRDefault="00B16471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 п</w:t>
      </w:r>
      <w:r w:rsidR="00033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ункт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 изложить в следующей</w:t>
      </w:r>
      <w:r w:rsidR="00033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14:paraId="19270A2B" w14:textId="2750F41E" w:rsidR="00356317" w:rsidRPr="00356317" w:rsidRDefault="00356317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3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«3. Расходование средств субсидий в сфере образования осуществляется в соответствии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нормативами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 w:rsidR="00525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муниципальных общеобразовательных организациях в Московской области, обеспечения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14:paraId="1873F70F" w14:textId="77777777" w:rsidR="00161A19" w:rsidRPr="00161A19" w:rsidRDefault="00161A19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1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образования за счет средств субсидий в сфере образования предусматривает субсидии муниципальным бюджетным и автономным дошкольным и общеобразовательным организациям на финансовое обеспечение выполнения ими муниципального задания, рассчитанные с учетом нормативных затрат на оказание ими муниципальных услуг и субсидии на иные цели (далее – субсидии муниципальным образовательным организациям),  а также финансовое обеспечение деятельности муниципальных казенных общеобразовательных организаций на основании бюджетных смет.</w:t>
      </w:r>
    </w:p>
    <w:p w14:paraId="7ECF6DD2" w14:textId="3D8AD5FF" w:rsidR="005969FA" w:rsidRDefault="005969FA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Объемы субсидий в сфере образования определяются в соответствии с мет</w:t>
      </w:r>
      <w:r w:rsidR="00D9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одикой, установленной законом Московской области о финансовом обеспечении дошкольного и общего образования</w:t>
      </w:r>
      <w:r w:rsidRPr="00596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Законом Московской области № 147/2013-ОЗ исходя из прогнозируемой </w:t>
      </w:r>
      <w:r w:rsidR="00A40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фактической средней </w:t>
      </w:r>
      <w:r w:rsidRPr="00596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численности обучающихся, получающих образование по общеобразовательным программам дошкольного, начального общего, основного общего, среднего общего образования в муниципальных дошкольных и общеобразовательных организациях, работников в муниципальных общеобразовательных организациях утвержденных нормативно-правовым актом Администрации Одинцовского городского </w:t>
      </w:r>
      <w:r w:rsidRPr="005969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округа Московской области</w:t>
      </w:r>
      <w:r w:rsidR="00D9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DC6" w:rsidRPr="00D9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должны соответствовать объемам субвенций в сфере образования, доведенным Министерством образования Московской области до Администрации Одинцовского городского округа Московской области.</w:t>
      </w:r>
    </w:p>
    <w:p w14:paraId="68111C67" w14:textId="69329640" w:rsidR="00356317" w:rsidRPr="00356317" w:rsidRDefault="00161A19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61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расчета прогнозируемой на очередной финансовый год и фактической средней численности обучающихся, работников в муниципальных дошкольных образовательных организациях и муниципальных общеобразовательных орган</w:t>
      </w:r>
      <w:r w:rsidR="00D9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изациях устанавливается законом</w:t>
      </w:r>
      <w:r w:rsidRPr="00161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Московской области о финансовом обеспечении</w:t>
      </w:r>
      <w:r w:rsidR="00D9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дошкольного и общего образования</w:t>
      </w:r>
      <w:r w:rsidRPr="00161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</w:p>
    <w:p w14:paraId="2848BEC9" w14:textId="77B942BB" w:rsidR="00356317" w:rsidRDefault="002025EE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4 Порядка изложить в следующей редакции:</w:t>
      </w:r>
    </w:p>
    <w:p w14:paraId="6D99FF85" w14:textId="77777777" w:rsidR="002025EE" w:rsidRDefault="002025EE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«4. Уточнение объемов субсидий в сфере образования осуществляется в соответствии с законом Московской области о финансовом обеспечении дошкольного и общего образования, Законом Московской области № 147/2013-ОЗ.</w:t>
      </w:r>
    </w:p>
    <w:p w14:paraId="7E3AEE66" w14:textId="4C54B77B" w:rsidR="00FC7BD2" w:rsidRDefault="002025EE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изменения прогнозируемой средней численности обучающихся, работников муниципальных дошкольных и общеобразовательных организаций Управление образования направляет посредством государственной информационной системы Московской области «Система контроля ключевых показателей управления в сфере образования Московской области» в Министерство образования Московской области уточненную прогнозируемую численность обучающихся, работников за подпись</w:t>
      </w:r>
      <w:r w:rsidR="00FC7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заместителя Главы Администрации Одинцовского городского округа. После внесения изменений в закон Московской области о бюджете Московской области на соответствующий финансовый год и плановый период и доведения Министерством образования Московской области до Администрации Одинцовского городского округа объемов и расчетов субвенций в сфере образования в разрезе муниципальных дошкольных и общеобразовательных организаций Управление образования приводит в соответствие доведенный до муниципальных дошкольных и общеобразовательных организаций объем субсидий в сфере образования.</w:t>
      </w:r>
    </w:p>
    <w:p w14:paraId="00E7E5CD" w14:textId="53DF8327" w:rsidR="00FC7BD2" w:rsidRPr="002025EE" w:rsidRDefault="00FC7BD2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фактическая численность обучающихся, работников муниципальных</w:t>
      </w:r>
      <w:r w:rsidR="001B56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дошкольных</w:t>
      </w:r>
      <w:r w:rsidR="001B56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общеобразовательных </w:t>
      </w:r>
      <w:r w:rsidR="001B56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организаций сложилась меньше прогнозируемой за соответствующий период, Управление образования до внесения изменений в закон о бюджете Московской области на соответствующий финансовый год и плановый период по согласованию с Министерством образования Московской области перераспределяет субвенции в сфере образования, предусмотренные таким организациям, иным организациям того же типа, фактическая численность обучающихся, </w:t>
      </w:r>
      <w:r w:rsidR="001B56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работников в которых сложилась больше прогнозируемой. Уточнение объемов субсидий в сфере образования отдельным муниципальным дошкольным и общеобразовательным учреждениям осуществляется в соответствии с методиками, установленными законом Московской области о финансовом обеспечении дошкольного и общего образования, Законом Московской области №147/2013-ОЗ, и в пределах объема субвенции, предусмотренной бюджету округа законом Московской области о бюджете Московской области на соответствующий финансовый год и плановый период.».</w:t>
      </w:r>
    </w:p>
    <w:p w14:paraId="27A67EE8" w14:textId="7E190E41" w:rsidR="00775D29" w:rsidRDefault="00B16471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а</w:t>
      </w:r>
      <w:r w:rsidR="00775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бзац 1 пункта 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 изложить в следующей</w:t>
      </w:r>
      <w:r w:rsidR="00775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14:paraId="58A77E87" w14:textId="2244D8C3" w:rsidR="00775D29" w:rsidRDefault="00775D29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«6. </w:t>
      </w:r>
      <w:r w:rsidR="00842F7F" w:rsidRPr="00842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Субсидии в сфере образования расходуются муниципальными образовательными организациями исходя из фактической средней численности обучающихся, работников муниципальных дошкольных образовательных организаций, муниципальных общеобразовательных организаций,</w:t>
      </w:r>
      <w:r w:rsidR="00842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рассчитанной в соответствии с законами Московской области о финансовом обеспечении общего образования, о финансовом обеспечении дошкольного образования, Законом Московской области №147/2013-ОЗ.»</w:t>
      </w:r>
      <w:r w:rsidR="00B16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E9B16C" w14:textId="089748BF" w:rsidR="00842F7F" w:rsidRDefault="00B16471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а</w:t>
      </w:r>
      <w:r w:rsidR="00842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бзац 1 пункта 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Порядка изложить в следующей </w:t>
      </w:r>
      <w:r w:rsidR="00842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редакции:</w:t>
      </w:r>
    </w:p>
    <w:p w14:paraId="2E260E5B" w14:textId="08ED4D8A" w:rsidR="00842F7F" w:rsidRDefault="00842F7F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«7. </w:t>
      </w:r>
      <w:r w:rsidRPr="00842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График доведения предельных объемов финансирования за счет средств субсидий в сфере образования до муниципальных дошкольных и общеобразовательных организаций устанавливается локальным актом- приказом Управления образования в соответствии с графиком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финансового обеспечения субвенций. Изменение графика финансового обеспечения субвенций осуществляется путем направления его Администрацией Одинцовского городского округа посредством МСЭД в Министерство образования Московской области</w:t>
      </w:r>
      <w:r w:rsidR="00A4099C" w:rsidRPr="00A4099C">
        <w:t xml:space="preserve"> </w:t>
      </w:r>
      <w:r w:rsidR="00A4099C" w:rsidRPr="00A40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подписью заместителя Главы Администрации Одинцовского городского округа</w:t>
      </w:r>
      <w:r w:rsidRPr="00842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B16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96521C2" w14:textId="477242C1" w:rsidR="00842F7F" w:rsidRDefault="00B16471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в</w:t>
      </w:r>
      <w:r w:rsidR="00842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пункте 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842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9B718C7" w14:textId="542014DC" w:rsidR="00842F7F" w:rsidRDefault="00A4099C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«до </w:t>
      </w:r>
      <w:r w:rsidR="00B16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</w:t>
      </w:r>
      <w:r w:rsidR="00B16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заменить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словами</w:t>
      </w:r>
      <w:r w:rsidR="0005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05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</w:t>
      </w:r>
      <w:r w:rsidR="00054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6F487CD2" w14:textId="29A77676" w:rsidR="0078313C" w:rsidRDefault="0078313C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«по формам 1,5» заменить словами «по форме 1»;</w:t>
      </w:r>
    </w:p>
    <w:p w14:paraId="3AC4DF19" w14:textId="624D6F1A" w:rsidR="00033A81" w:rsidRDefault="00842F7F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абзац 2 </w:t>
      </w:r>
      <w:r w:rsidR="00783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4FAC2EC2" w14:textId="60847241" w:rsidR="0078313C" w:rsidRDefault="0078313C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 случае внесения изменений в предоставленные отчеты </w:t>
      </w:r>
      <w:r w:rsidR="008663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предоставлении субвенций в сфере образования Управления образования представляет в Министерство образования скорректированные отчеты о предоставлении субвенций в сфере образования.».</w:t>
      </w:r>
    </w:p>
    <w:p w14:paraId="454B66BC" w14:textId="23E5A428" w:rsidR="00B16471" w:rsidRDefault="001F52A5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B6A08" w:rsidRPr="00F42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6471" w:rsidRPr="00B16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официальных средствах массовой информации Одинцовского городского округа и разместить на официальных сайтах в сети «Интернет» Одинцовского городского округа </w:t>
      </w:r>
      <w:r w:rsidR="00B16471" w:rsidRPr="00B16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Московской области и Управления образования Администрации Одинцовского городского округа Московской области.</w:t>
      </w:r>
    </w:p>
    <w:p w14:paraId="2F360828" w14:textId="681EFE2D" w:rsidR="007506EE" w:rsidRDefault="001F52A5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307AF" w:rsidRPr="00F42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6471" w:rsidRPr="00B16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даты его официального опубликования</w:t>
      </w:r>
      <w:r w:rsidR="00E84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применяется к правоотношениям, возникшим с </w:t>
      </w:r>
      <w:r w:rsidR="008663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01.01.2022</w:t>
      </w:r>
      <w:r w:rsidR="00B16471" w:rsidRPr="00B16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6E3BF79" w14:textId="1EBF443B" w:rsidR="00EC0420" w:rsidRPr="00EC0420" w:rsidRDefault="00EC0420" w:rsidP="008663C2">
      <w:pPr>
        <w:spacing w:line="27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EC04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Администрации Одинцовского городского округа Московской области Дмитриева О.В.</w:t>
      </w:r>
    </w:p>
    <w:p w14:paraId="01A37307" w14:textId="77777777" w:rsidR="003307AF" w:rsidRPr="005B5749" w:rsidRDefault="003307AF" w:rsidP="008663C2">
      <w:pPr>
        <w:spacing w:line="27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6807CD3" w14:textId="77777777" w:rsidR="00BB7DD7" w:rsidRPr="005B5749" w:rsidRDefault="00BB7DD7" w:rsidP="008663C2">
      <w:pPr>
        <w:spacing w:line="27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</w:t>
      </w:r>
      <w:r w:rsidR="00052103" w:rsidRPr="005B574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B5749">
        <w:rPr>
          <w:rFonts w:ascii="Times New Roman" w:eastAsia="Times New Roman" w:hAnsi="Times New Roman" w:cs="Times New Roman"/>
          <w:sz w:val="28"/>
          <w:szCs w:val="28"/>
        </w:rPr>
        <w:t xml:space="preserve">     А.Р. Иванов</w:t>
      </w:r>
    </w:p>
    <w:p w14:paraId="3A41AE14" w14:textId="77777777" w:rsidR="00CB766D" w:rsidRPr="005B5749" w:rsidRDefault="00CB766D" w:rsidP="008663C2">
      <w:pPr>
        <w:widowControl w:val="0"/>
        <w:autoSpaceDE w:val="0"/>
        <w:autoSpaceDN w:val="0"/>
        <w:adjustRightInd w:val="0"/>
        <w:spacing w:line="278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4C00B36" w14:textId="77777777" w:rsidR="00B36EFD" w:rsidRPr="008663C2" w:rsidRDefault="00B36EFD" w:rsidP="008663C2">
      <w:pPr>
        <w:widowControl w:val="0"/>
        <w:autoSpaceDE w:val="0"/>
        <w:autoSpaceDN w:val="0"/>
        <w:adjustRightInd w:val="0"/>
        <w:spacing w:line="278" w:lineRule="auto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419ED5C2" w14:textId="442E2A60" w:rsidR="00C17323" w:rsidRPr="008663C2" w:rsidRDefault="00B6321B" w:rsidP="008663C2">
      <w:pPr>
        <w:autoSpaceDE w:val="0"/>
        <w:autoSpaceDN w:val="0"/>
        <w:adjustRightInd w:val="0"/>
        <w:spacing w:line="278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8663C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Верно: начальник общего отдела                                                       Е.П. Кочетко</w:t>
      </w:r>
      <w:r w:rsidR="008663C2" w:rsidRPr="008663C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ва</w:t>
      </w:r>
    </w:p>
    <w:p w14:paraId="50269DA7" w14:textId="390186E9" w:rsidR="00D53D82" w:rsidRDefault="00D53D8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</w:p>
    <w:p w14:paraId="0AA15ACF" w14:textId="77777777" w:rsidR="00F06501" w:rsidRPr="005B5749" w:rsidRDefault="00F06501" w:rsidP="003307A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47B02FB" w14:textId="77777777" w:rsidR="003307AF" w:rsidRPr="005B5749" w:rsidRDefault="003307AF" w:rsidP="003307A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СОГЛАСОВАНО:</w:t>
      </w:r>
    </w:p>
    <w:p w14:paraId="2E2E45EE" w14:textId="77777777"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403D80EB" w14:textId="77777777"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2879FD3" w14:textId="77777777"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3307AF" w:rsidRPr="005B5749" w14:paraId="2AB2A2BD" w14:textId="77777777" w:rsidTr="003307AF">
        <w:trPr>
          <w:trHeight w:val="1417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hideMark/>
          </w:tcPr>
          <w:p w14:paraId="780B1D11" w14:textId="77777777" w:rsidR="00204F5E" w:rsidRPr="005B5749" w:rsidRDefault="00204F5E" w:rsidP="00204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5B57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Заместитель Главы Администрации-         </w:t>
            </w:r>
          </w:p>
          <w:p w14:paraId="5D6716F3" w14:textId="77777777" w:rsidR="003307AF" w:rsidRPr="005B5749" w:rsidRDefault="00204F5E" w:rsidP="00204F5E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5B57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начальник Управления правового обеспечения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6E85931" w14:textId="77777777" w:rsidR="003307AF" w:rsidRPr="005B5749" w:rsidRDefault="003307AF" w:rsidP="003307AF">
            <w:pPr>
              <w:widowControl w:val="0"/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5B5749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 xml:space="preserve">         А.А. Тесля</w:t>
            </w:r>
          </w:p>
        </w:tc>
      </w:tr>
    </w:tbl>
    <w:p w14:paraId="221A02C1" w14:textId="77777777" w:rsidR="00FD29CB" w:rsidRPr="005B5749" w:rsidRDefault="00FD29CB" w:rsidP="00FD29C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5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Заместитель Главы Администрации,</w:t>
      </w:r>
    </w:p>
    <w:p w14:paraId="5AE874A3" w14:textId="77777777" w:rsidR="003307AF" w:rsidRPr="005B5749" w:rsidRDefault="00FD29CB" w:rsidP="00FD29CB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B5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начальник Финансово-казначейского управления                       </w:t>
      </w:r>
      <w:r w:rsidR="008731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Pr="005B5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3307AF" w:rsidRPr="005B57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Л.В. Тарасова</w:t>
      </w:r>
    </w:p>
    <w:p w14:paraId="22CF78D8" w14:textId="77777777"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C5BB1F7" w14:textId="77777777" w:rsidR="003307AF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4C70CC0" w14:textId="77777777" w:rsidR="008731BC" w:rsidRPr="005B5749" w:rsidRDefault="008731BC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340E82F" w14:textId="77777777" w:rsidR="001B7E5A" w:rsidRPr="005B5749" w:rsidRDefault="001B7E5A" w:rsidP="001B7E5A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B57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Заместитель Главы Администрации                                                   </w:t>
      </w:r>
      <w:r w:rsidR="008731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="00C17323" w:rsidRPr="005B57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О.В. Дмитриев</w:t>
      </w:r>
    </w:p>
    <w:p w14:paraId="7C182305" w14:textId="77777777" w:rsidR="003307AF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5046FC0" w14:textId="77777777" w:rsidR="008731BC" w:rsidRPr="005B5749" w:rsidRDefault="008731BC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63FF92F" w14:textId="77777777"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F475125" w14:textId="48B324D8" w:rsidR="001B7E5A" w:rsidRPr="005B5749" w:rsidRDefault="0047606A" w:rsidP="001B7E5A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И.о. на</w:t>
      </w:r>
      <w:r w:rsidR="008731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чальник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1B7E5A" w:rsidRPr="005B57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Управления образования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</w:t>
      </w:r>
      <w:r w:rsidR="00B81E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50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="00B81E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В. Новожилова</w:t>
      </w:r>
    </w:p>
    <w:p w14:paraId="1E00E6D0" w14:textId="77777777" w:rsidR="001B7E5A" w:rsidRPr="005B5749" w:rsidRDefault="001B7E5A" w:rsidP="003307A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3A38278" w14:textId="77777777" w:rsidR="000B6036" w:rsidRDefault="000B6036" w:rsidP="001B7E5A">
      <w:pPr>
        <w:widowContro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2D10551" w14:textId="77777777" w:rsidR="008731BC" w:rsidRPr="005B5749" w:rsidRDefault="008731BC" w:rsidP="001B7E5A">
      <w:pPr>
        <w:widowContro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63D58D0" w14:textId="77777777" w:rsidR="00D53D82" w:rsidRPr="00D53D82" w:rsidRDefault="00D53D82" w:rsidP="00D53D82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53D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Начальник юридического отдела </w:t>
      </w:r>
    </w:p>
    <w:p w14:paraId="778FF564" w14:textId="5A85080A" w:rsidR="003307AF" w:rsidRPr="005B5749" w:rsidRDefault="00D53D82" w:rsidP="00D53D82">
      <w:pPr>
        <w:widowControl w:val="0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D53D8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Управления правового обеспечения                                               Г.В. Варварина</w:t>
      </w:r>
    </w:p>
    <w:p w14:paraId="68C5FE81" w14:textId="77777777"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0EC17A66" w14:textId="77777777"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2F81653C" w14:textId="77777777"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121581E5" w14:textId="77777777"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5E24F286" w14:textId="77777777"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4A78F1B2" w14:textId="77777777"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1CDD0C8A" w14:textId="77777777"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6736B98F" w14:textId="77777777"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3979A254" w14:textId="77777777"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0A554244" w14:textId="77777777"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03DBE4B4" w14:textId="77777777" w:rsidR="003307AF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25E17122" w14:textId="77777777" w:rsidR="00F06501" w:rsidRPr="005B5749" w:rsidRDefault="00F06501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54BDF17A" w14:textId="77777777" w:rsidR="00A93A21" w:rsidRPr="005B5749" w:rsidRDefault="00A93A21" w:rsidP="003307A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15E5C424" w14:textId="77777777" w:rsidR="00A93A21" w:rsidRPr="005B5749" w:rsidRDefault="00A93A21" w:rsidP="003307A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2AA2655B" w14:textId="77777777"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B574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Рассылка: </w:t>
      </w:r>
    </w:p>
    <w:p w14:paraId="33172A74" w14:textId="77777777"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B5749">
        <w:rPr>
          <w:rFonts w:ascii="Times New Roman" w:eastAsia="Calibri" w:hAnsi="Times New Roman" w:cs="Times New Roman"/>
          <w:color w:val="000000" w:themeColor="text1"/>
          <w:lang w:eastAsia="en-US"/>
        </w:rPr>
        <w:t>Общий отдел – 3 экз.</w:t>
      </w:r>
    </w:p>
    <w:p w14:paraId="1AC4682E" w14:textId="77777777"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B5749">
        <w:rPr>
          <w:rFonts w:ascii="Times New Roman" w:eastAsia="Calibri" w:hAnsi="Times New Roman" w:cs="Times New Roman"/>
          <w:color w:val="000000" w:themeColor="text1"/>
          <w:lang w:eastAsia="en-US"/>
        </w:rPr>
        <w:t>ФКУ – 1 экз.</w:t>
      </w:r>
    </w:p>
    <w:p w14:paraId="7BDD5D7C" w14:textId="77777777" w:rsidR="003307AF" w:rsidRPr="005B5749" w:rsidRDefault="001A2549" w:rsidP="003307A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B574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Управление образования – 2 </w:t>
      </w:r>
      <w:r w:rsidR="003307AF" w:rsidRPr="005B5749">
        <w:rPr>
          <w:rFonts w:ascii="Times New Roman" w:eastAsia="Calibri" w:hAnsi="Times New Roman" w:cs="Times New Roman"/>
          <w:color w:val="000000" w:themeColor="text1"/>
          <w:lang w:eastAsia="en-US"/>
        </w:rPr>
        <w:t>экз.</w:t>
      </w:r>
    </w:p>
    <w:p w14:paraId="765867C3" w14:textId="77777777"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B5749">
        <w:rPr>
          <w:rFonts w:ascii="Times New Roman" w:eastAsia="Calibri" w:hAnsi="Times New Roman" w:cs="Times New Roman"/>
          <w:color w:val="000000" w:themeColor="text1"/>
          <w:lang w:eastAsia="en-US"/>
        </w:rPr>
        <w:t>МКУ «ЦБ» - 1 экз.</w:t>
      </w:r>
    </w:p>
    <w:p w14:paraId="38919EA6" w14:textId="77777777"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4580150E" w14:textId="7685EA0C" w:rsidR="00833DE0" w:rsidRDefault="000343AD" w:rsidP="00833DE0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>И.В. Дубо</w:t>
      </w:r>
      <w:r w:rsidR="0047606A">
        <w:rPr>
          <w:rFonts w:ascii="Times New Roman" w:eastAsia="Calibri" w:hAnsi="Times New Roman" w:cs="Times New Roman"/>
          <w:color w:val="000000" w:themeColor="text1"/>
          <w:lang w:eastAsia="en-US"/>
        </w:rPr>
        <w:t>вик</w:t>
      </w:r>
      <w:r w:rsidR="00A93A21" w:rsidRPr="005B574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, </w:t>
      </w:r>
    </w:p>
    <w:p w14:paraId="5DB49041" w14:textId="77777777" w:rsidR="00877CF2" w:rsidRPr="00F06501" w:rsidRDefault="008731BC" w:rsidP="00833DE0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>498-602-71-54</w:t>
      </w:r>
    </w:p>
    <w:sectPr w:rsidR="00877CF2" w:rsidRPr="00F06501" w:rsidSect="001275A1"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0434A" w14:textId="77777777" w:rsidR="004C10B8" w:rsidRDefault="004C10B8">
      <w:r>
        <w:separator/>
      </w:r>
    </w:p>
  </w:endnote>
  <w:endnote w:type="continuationSeparator" w:id="0">
    <w:p w14:paraId="377D0E61" w14:textId="77777777" w:rsidR="004C10B8" w:rsidRDefault="004C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DAAF0" w14:textId="77777777" w:rsidR="004C10B8" w:rsidRDefault="004C10B8"/>
  </w:footnote>
  <w:footnote w:type="continuationSeparator" w:id="0">
    <w:p w14:paraId="1B1BA37B" w14:textId="77777777" w:rsidR="004C10B8" w:rsidRDefault="004C10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F6989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328EF"/>
    <w:multiLevelType w:val="multilevel"/>
    <w:tmpl w:val="23B2F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0F6E"/>
    <w:rsid w:val="00001EE0"/>
    <w:rsid w:val="00002879"/>
    <w:rsid w:val="000064AB"/>
    <w:rsid w:val="00006B77"/>
    <w:rsid w:val="0001471E"/>
    <w:rsid w:val="000158EC"/>
    <w:rsid w:val="00022CE0"/>
    <w:rsid w:val="00025C34"/>
    <w:rsid w:val="00033A81"/>
    <w:rsid w:val="000343AD"/>
    <w:rsid w:val="000422AE"/>
    <w:rsid w:val="00043C05"/>
    <w:rsid w:val="000472F4"/>
    <w:rsid w:val="00052103"/>
    <w:rsid w:val="00054746"/>
    <w:rsid w:val="00054B3E"/>
    <w:rsid w:val="000672B8"/>
    <w:rsid w:val="000772FF"/>
    <w:rsid w:val="00081E09"/>
    <w:rsid w:val="00083431"/>
    <w:rsid w:val="00084364"/>
    <w:rsid w:val="00084CB2"/>
    <w:rsid w:val="00090BEF"/>
    <w:rsid w:val="000920C3"/>
    <w:rsid w:val="00092F09"/>
    <w:rsid w:val="000939A2"/>
    <w:rsid w:val="00094661"/>
    <w:rsid w:val="00094B0E"/>
    <w:rsid w:val="000B0D10"/>
    <w:rsid w:val="000B6036"/>
    <w:rsid w:val="000C0CAC"/>
    <w:rsid w:val="000C5D8F"/>
    <w:rsid w:val="001062AA"/>
    <w:rsid w:val="00106F64"/>
    <w:rsid w:val="0011501B"/>
    <w:rsid w:val="0012583E"/>
    <w:rsid w:val="0012626E"/>
    <w:rsid w:val="001275A1"/>
    <w:rsid w:val="00131A85"/>
    <w:rsid w:val="00135D25"/>
    <w:rsid w:val="00140779"/>
    <w:rsid w:val="001434D1"/>
    <w:rsid w:val="00147D07"/>
    <w:rsid w:val="00161A19"/>
    <w:rsid w:val="00164F0E"/>
    <w:rsid w:val="00170EE9"/>
    <w:rsid w:val="00172202"/>
    <w:rsid w:val="001827EE"/>
    <w:rsid w:val="001838EB"/>
    <w:rsid w:val="00185DB6"/>
    <w:rsid w:val="001867EA"/>
    <w:rsid w:val="001937F0"/>
    <w:rsid w:val="00194D0C"/>
    <w:rsid w:val="001A2549"/>
    <w:rsid w:val="001A39A8"/>
    <w:rsid w:val="001A3FE2"/>
    <w:rsid w:val="001A4EA3"/>
    <w:rsid w:val="001A5825"/>
    <w:rsid w:val="001A77CD"/>
    <w:rsid w:val="001B0422"/>
    <w:rsid w:val="001B0E0E"/>
    <w:rsid w:val="001B5692"/>
    <w:rsid w:val="001B7E5A"/>
    <w:rsid w:val="001D2E67"/>
    <w:rsid w:val="001E0D92"/>
    <w:rsid w:val="001E34F2"/>
    <w:rsid w:val="001E3E7A"/>
    <w:rsid w:val="001E59AB"/>
    <w:rsid w:val="001F413C"/>
    <w:rsid w:val="001F422C"/>
    <w:rsid w:val="001F52A5"/>
    <w:rsid w:val="001F6D22"/>
    <w:rsid w:val="002025EE"/>
    <w:rsid w:val="00204F5E"/>
    <w:rsid w:val="002148E8"/>
    <w:rsid w:val="002200C4"/>
    <w:rsid w:val="00220F6E"/>
    <w:rsid w:val="0022354E"/>
    <w:rsid w:val="002241F3"/>
    <w:rsid w:val="00225698"/>
    <w:rsid w:val="0022643D"/>
    <w:rsid w:val="0024082E"/>
    <w:rsid w:val="002550C3"/>
    <w:rsid w:val="00262305"/>
    <w:rsid w:val="00262D64"/>
    <w:rsid w:val="00265FF5"/>
    <w:rsid w:val="00270BD6"/>
    <w:rsid w:val="00282185"/>
    <w:rsid w:val="00291555"/>
    <w:rsid w:val="00291B95"/>
    <w:rsid w:val="00292A0E"/>
    <w:rsid w:val="002A0A08"/>
    <w:rsid w:val="002A4591"/>
    <w:rsid w:val="002B570D"/>
    <w:rsid w:val="002C56B9"/>
    <w:rsid w:val="002D3A4E"/>
    <w:rsid w:val="002D4D90"/>
    <w:rsid w:val="002D53F9"/>
    <w:rsid w:val="002E7318"/>
    <w:rsid w:val="002F0099"/>
    <w:rsid w:val="002F2019"/>
    <w:rsid w:val="002F236E"/>
    <w:rsid w:val="002F25DC"/>
    <w:rsid w:val="00300F8E"/>
    <w:rsid w:val="00311A32"/>
    <w:rsid w:val="0031393A"/>
    <w:rsid w:val="00326415"/>
    <w:rsid w:val="00327F89"/>
    <w:rsid w:val="003307AF"/>
    <w:rsid w:val="003332E5"/>
    <w:rsid w:val="00336BD4"/>
    <w:rsid w:val="00337844"/>
    <w:rsid w:val="0035602A"/>
    <w:rsid w:val="00356317"/>
    <w:rsid w:val="0036189C"/>
    <w:rsid w:val="00363826"/>
    <w:rsid w:val="00366130"/>
    <w:rsid w:val="0037002D"/>
    <w:rsid w:val="003721D3"/>
    <w:rsid w:val="00390CDE"/>
    <w:rsid w:val="00394D65"/>
    <w:rsid w:val="00395335"/>
    <w:rsid w:val="003A289D"/>
    <w:rsid w:val="003B1BD1"/>
    <w:rsid w:val="003B4C30"/>
    <w:rsid w:val="003C19DC"/>
    <w:rsid w:val="003C46BE"/>
    <w:rsid w:val="003D181B"/>
    <w:rsid w:val="003D211E"/>
    <w:rsid w:val="003E5450"/>
    <w:rsid w:val="003E5AA0"/>
    <w:rsid w:val="003F2BF7"/>
    <w:rsid w:val="003F4F1E"/>
    <w:rsid w:val="004044D7"/>
    <w:rsid w:val="00406578"/>
    <w:rsid w:val="004216D5"/>
    <w:rsid w:val="00424C10"/>
    <w:rsid w:val="0043148E"/>
    <w:rsid w:val="00440657"/>
    <w:rsid w:val="004464F2"/>
    <w:rsid w:val="0045414E"/>
    <w:rsid w:val="00466735"/>
    <w:rsid w:val="0047606A"/>
    <w:rsid w:val="00482E2E"/>
    <w:rsid w:val="004854C0"/>
    <w:rsid w:val="00486E77"/>
    <w:rsid w:val="00487584"/>
    <w:rsid w:val="00487AD9"/>
    <w:rsid w:val="00494C10"/>
    <w:rsid w:val="004A0D5E"/>
    <w:rsid w:val="004A1CE6"/>
    <w:rsid w:val="004A4CD1"/>
    <w:rsid w:val="004B6DDE"/>
    <w:rsid w:val="004C10B8"/>
    <w:rsid w:val="004C15F4"/>
    <w:rsid w:val="004C1E1B"/>
    <w:rsid w:val="004C50E5"/>
    <w:rsid w:val="004C559C"/>
    <w:rsid w:val="004E5734"/>
    <w:rsid w:val="00501D35"/>
    <w:rsid w:val="0051116F"/>
    <w:rsid w:val="00511B06"/>
    <w:rsid w:val="00512836"/>
    <w:rsid w:val="005163A2"/>
    <w:rsid w:val="00520A59"/>
    <w:rsid w:val="005235AE"/>
    <w:rsid w:val="005246B9"/>
    <w:rsid w:val="00524E36"/>
    <w:rsid w:val="00525441"/>
    <w:rsid w:val="00525912"/>
    <w:rsid w:val="005265ED"/>
    <w:rsid w:val="005304DD"/>
    <w:rsid w:val="0054591A"/>
    <w:rsid w:val="00547C51"/>
    <w:rsid w:val="005605F1"/>
    <w:rsid w:val="00560F28"/>
    <w:rsid w:val="0056357F"/>
    <w:rsid w:val="0056617E"/>
    <w:rsid w:val="00566EA2"/>
    <w:rsid w:val="0056756C"/>
    <w:rsid w:val="00570237"/>
    <w:rsid w:val="0057606B"/>
    <w:rsid w:val="00576781"/>
    <w:rsid w:val="00587C24"/>
    <w:rsid w:val="0059598C"/>
    <w:rsid w:val="005969FA"/>
    <w:rsid w:val="005A0A5C"/>
    <w:rsid w:val="005A5D82"/>
    <w:rsid w:val="005B5749"/>
    <w:rsid w:val="005C1164"/>
    <w:rsid w:val="005C1DF4"/>
    <w:rsid w:val="005C79E5"/>
    <w:rsid w:val="005C7A3F"/>
    <w:rsid w:val="005D2637"/>
    <w:rsid w:val="005F6F46"/>
    <w:rsid w:val="00604B0E"/>
    <w:rsid w:val="00606C71"/>
    <w:rsid w:val="00616DEF"/>
    <w:rsid w:val="0062094C"/>
    <w:rsid w:val="006236B0"/>
    <w:rsid w:val="00624120"/>
    <w:rsid w:val="0063171F"/>
    <w:rsid w:val="006346C8"/>
    <w:rsid w:val="0063515E"/>
    <w:rsid w:val="006408A7"/>
    <w:rsid w:val="006431FC"/>
    <w:rsid w:val="0065693F"/>
    <w:rsid w:val="00656C56"/>
    <w:rsid w:val="00664FAB"/>
    <w:rsid w:val="0067478A"/>
    <w:rsid w:val="0067553D"/>
    <w:rsid w:val="006843A0"/>
    <w:rsid w:val="006A3D05"/>
    <w:rsid w:val="006B799F"/>
    <w:rsid w:val="006C2474"/>
    <w:rsid w:val="006C518E"/>
    <w:rsid w:val="006D59E0"/>
    <w:rsid w:val="006F3B34"/>
    <w:rsid w:val="006F48D9"/>
    <w:rsid w:val="006F5FF6"/>
    <w:rsid w:val="00701A61"/>
    <w:rsid w:val="00702CC6"/>
    <w:rsid w:val="00704394"/>
    <w:rsid w:val="00705FBF"/>
    <w:rsid w:val="00707834"/>
    <w:rsid w:val="0071124C"/>
    <w:rsid w:val="00713D58"/>
    <w:rsid w:val="00721302"/>
    <w:rsid w:val="00726159"/>
    <w:rsid w:val="00727CF5"/>
    <w:rsid w:val="00730960"/>
    <w:rsid w:val="007322CD"/>
    <w:rsid w:val="00735A00"/>
    <w:rsid w:val="0073625F"/>
    <w:rsid w:val="007506EE"/>
    <w:rsid w:val="0075082F"/>
    <w:rsid w:val="00766859"/>
    <w:rsid w:val="00766DC2"/>
    <w:rsid w:val="00767CD6"/>
    <w:rsid w:val="00770369"/>
    <w:rsid w:val="00770ADB"/>
    <w:rsid w:val="00770FE9"/>
    <w:rsid w:val="00771DB9"/>
    <w:rsid w:val="00772826"/>
    <w:rsid w:val="00772E58"/>
    <w:rsid w:val="00775D29"/>
    <w:rsid w:val="00776644"/>
    <w:rsid w:val="0078313C"/>
    <w:rsid w:val="0078525F"/>
    <w:rsid w:val="007867D3"/>
    <w:rsid w:val="00786930"/>
    <w:rsid w:val="00790A02"/>
    <w:rsid w:val="00795A20"/>
    <w:rsid w:val="0079797B"/>
    <w:rsid w:val="007A1945"/>
    <w:rsid w:val="007A35AB"/>
    <w:rsid w:val="007A7DBA"/>
    <w:rsid w:val="007B0951"/>
    <w:rsid w:val="007B3895"/>
    <w:rsid w:val="007B4B02"/>
    <w:rsid w:val="007B7A0A"/>
    <w:rsid w:val="007C3672"/>
    <w:rsid w:val="007C4022"/>
    <w:rsid w:val="007D065F"/>
    <w:rsid w:val="007D434A"/>
    <w:rsid w:val="007D48DB"/>
    <w:rsid w:val="007F5170"/>
    <w:rsid w:val="007F583F"/>
    <w:rsid w:val="007F6186"/>
    <w:rsid w:val="007F697B"/>
    <w:rsid w:val="007F7FB2"/>
    <w:rsid w:val="00801699"/>
    <w:rsid w:val="00804864"/>
    <w:rsid w:val="00805894"/>
    <w:rsid w:val="008059E2"/>
    <w:rsid w:val="00814330"/>
    <w:rsid w:val="0081611A"/>
    <w:rsid w:val="008203E1"/>
    <w:rsid w:val="00830E12"/>
    <w:rsid w:val="00831889"/>
    <w:rsid w:val="00833DE0"/>
    <w:rsid w:val="00834163"/>
    <w:rsid w:val="00834386"/>
    <w:rsid w:val="00834C58"/>
    <w:rsid w:val="00842F7F"/>
    <w:rsid w:val="00850FCB"/>
    <w:rsid w:val="00852E86"/>
    <w:rsid w:val="00860DED"/>
    <w:rsid w:val="00863281"/>
    <w:rsid w:val="0086603B"/>
    <w:rsid w:val="008663C2"/>
    <w:rsid w:val="008731BC"/>
    <w:rsid w:val="00874F7D"/>
    <w:rsid w:val="00877CF2"/>
    <w:rsid w:val="00886A2E"/>
    <w:rsid w:val="008A23AC"/>
    <w:rsid w:val="008B69FF"/>
    <w:rsid w:val="008D17D8"/>
    <w:rsid w:val="008D1ABA"/>
    <w:rsid w:val="008E449D"/>
    <w:rsid w:val="008F1EF9"/>
    <w:rsid w:val="008F249F"/>
    <w:rsid w:val="008F409B"/>
    <w:rsid w:val="009010E5"/>
    <w:rsid w:val="00903235"/>
    <w:rsid w:val="009059AB"/>
    <w:rsid w:val="0090693F"/>
    <w:rsid w:val="009141EE"/>
    <w:rsid w:val="0091483E"/>
    <w:rsid w:val="00922544"/>
    <w:rsid w:val="0094736A"/>
    <w:rsid w:val="0094766A"/>
    <w:rsid w:val="00951151"/>
    <w:rsid w:val="00953082"/>
    <w:rsid w:val="0095391E"/>
    <w:rsid w:val="00966003"/>
    <w:rsid w:val="0097064E"/>
    <w:rsid w:val="00976DC6"/>
    <w:rsid w:val="009845AE"/>
    <w:rsid w:val="00992CE0"/>
    <w:rsid w:val="009B4C98"/>
    <w:rsid w:val="009C3908"/>
    <w:rsid w:val="009C5E65"/>
    <w:rsid w:val="009C7CA8"/>
    <w:rsid w:val="009D35F4"/>
    <w:rsid w:val="009F2670"/>
    <w:rsid w:val="009F5499"/>
    <w:rsid w:val="00A02914"/>
    <w:rsid w:val="00A076E8"/>
    <w:rsid w:val="00A07E48"/>
    <w:rsid w:val="00A14BA2"/>
    <w:rsid w:val="00A158B1"/>
    <w:rsid w:val="00A21A74"/>
    <w:rsid w:val="00A22A59"/>
    <w:rsid w:val="00A2663D"/>
    <w:rsid w:val="00A34592"/>
    <w:rsid w:val="00A4099C"/>
    <w:rsid w:val="00A46FEB"/>
    <w:rsid w:val="00A603C7"/>
    <w:rsid w:val="00A62CD6"/>
    <w:rsid w:val="00A834EF"/>
    <w:rsid w:val="00A903C9"/>
    <w:rsid w:val="00A929C1"/>
    <w:rsid w:val="00A93A21"/>
    <w:rsid w:val="00AA42A9"/>
    <w:rsid w:val="00AB1AB0"/>
    <w:rsid w:val="00AB3D55"/>
    <w:rsid w:val="00AB5795"/>
    <w:rsid w:val="00AC5580"/>
    <w:rsid w:val="00AD09FB"/>
    <w:rsid w:val="00AD0CBF"/>
    <w:rsid w:val="00AD14C4"/>
    <w:rsid w:val="00AE0761"/>
    <w:rsid w:val="00B0034C"/>
    <w:rsid w:val="00B14C3F"/>
    <w:rsid w:val="00B16471"/>
    <w:rsid w:val="00B17620"/>
    <w:rsid w:val="00B216FE"/>
    <w:rsid w:val="00B2623B"/>
    <w:rsid w:val="00B31888"/>
    <w:rsid w:val="00B31939"/>
    <w:rsid w:val="00B3548E"/>
    <w:rsid w:val="00B356EA"/>
    <w:rsid w:val="00B36EFD"/>
    <w:rsid w:val="00B41BCA"/>
    <w:rsid w:val="00B4713E"/>
    <w:rsid w:val="00B52E9A"/>
    <w:rsid w:val="00B56D6D"/>
    <w:rsid w:val="00B62CFF"/>
    <w:rsid w:val="00B6321B"/>
    <w:rsid w:val="00B66A2C"/>
    <w:rsid w:val="00B7723F"/>
    <w:rsid w:val="00B818EF"/>
    <w:rsid w:val="00B81E83"/>
    <w:rsid w:val="00B823DE"/>
    <w:rsid w:val="00B8683F"/>
    <w:rsid w:val="00B91413"/>
    <w:rsid w:val="00BA4763"/>
    <w:rsid w:val="00BB1AF6"/>
    <w:rsid w:val="00BB7DD7"/>
    <w:rsid w:val="00BC1C95"/>
    <w:rsid w:val="00BC6F57"/>
    <w:rsid w:val="00BD4472"/>
    <w:rsid w:val="00C02CB5"/>
    <w:rsid w:val="00C032F6"/>
    <w:rsid w:val="00C061AF"/>
    <w:rsid w:val="00C07301"/>
    <w:rsid w:val="00C12D70"/>
    <w:rsid w:val="00C139F5"/>
    <w:rsid w:val="00C14B18"/>
    <w:rsid w:val="00C17323"/>
    <w:rsid w:val="00C35657"/>
    <w:rsid w:val="00C44DB9"/>
    <w:rsid w:val="00C50C7D"/>
    <w:rsid w:val="00C675EC"/>
    <w:rsid w:val="00C70AAA"/>
    <w:rsid w:val="00C73218"/>
    <w:rsid w:val="00C773A6"/>
    <w:rsid w:val="00C8367A"/>
    <w:rsid w:val="00C8627F"/>
    <w:rsid w:val="00C86E84"/>
    <w:rsid w:val="00C879EA"/>
    <w:rsid w:val="00CA6CCD"/>
    <w:rsid w:val="00CB766D"/>
    <w:rsid w:val="00CC0241"/>
    <w:rsid w:val="00CE0993"/>
    <w:rsid w:val="00CE18C9"/>
    <w:rsid w:val="00CF321B"/>
    <w:rsid w:val="00CF402D"/>
    <w:rsid w:val="00CF719E"/>
    <w:rsid w:val="00D01663"/>
    <w:rsid w:val="00D01A33"/>
    <w:rsid w:val="00D05025"/>
    <w:rsid w:val="00D0770E"/>
    <w:rsid w:val="00D103A7"/>
    <w:rsid w:val="00D1450F"/>
    <w:rsid w:val="00D237E3"/>
    <w:rsid w:val="00D371BF"/>
    <w:rsid w:val="00D379B9"/>
    <w:rsid w:val="00D37B17"/>
    <w:rsid w:val="00D503BA"/>
    <w:rsid w:val="00D52BF6"/>
    <w:rsid w:val="00D53D82"/>
    <w:rsid w:val="00D54352"/>
    <w:rsid w:val="00D619AC"/>
    <w:rsid w:val="00D63A0E"/>
    <w:rsid w:val="00D65882"/>
    <w:rsid w:val="00D73F76"/>
    <w:rsid w:val="00D80BA1"/>
    <w:rsid w:val="00D92BDC"/>
    <w:rsid w:val="00D92DC6"/>
    <w:rsid w:val="00D92EF6"/>
    <w:rsid w:val="00D97414"/>
    <w:rsid w:val="00DA3D1E"/>
    <w:rsid w:val="00DA4307"/>
    <w:rsid w:val="00DB406A"/>
    <w:rsid w:val="00DB6CF7"/>
    <w:rsid w:val="00DC1556"/>
    <w:rsid w:val="00DC4B6F"/>
    <w:rsid w:val="00DD4069"/>
    <w:rsid w:val="00DD5C51"/>
    <w:rsid w:val="00DD7849"/>
    <w:rsid w:val="00DE58D2"/>
    <w:rsid w:val="00DE5C11"/>
    <w:rsid w:val="00DE694E"/>
    <w:rsid w:val="00DF59A6"/>
    <w:rsid w:val="00DF59D6"/>
    <w:rsid w:val="00DF72E7"/>
    <w:rsid w:val="00E005CC"/>
    <w:rsid w:val="00E078FA"/>
    <w:rsid w:val="00E07B5D"/>
    <w:rsid w:val="00E25793"/>
    <w:rsid w:val="00E321C3"/>
    <w:rsid w:val="00E32B97"/>
    <w:rsid w:val="00E346DD"/>
    <w:rsid w:val="00E37EAC"/>
    <w:rsid w:val="00E45057"/>
    <w:rsid w:val="00E47503"/>
    <w:rsid w:val="00E5146C"/>
    <w:rsid w:val="00E7097F"/>
    <w:rsid w:val="00E73074"/>
    <w:rsid w:val="00E82945"/>
    <w:rsid w:val="00E84EBA"/>
    <w:rsid w:val="00E9205D"/>
    <w:rsid w:val="00EA31A5"/>
    <w:rsid w:val="00EA34B8"/>
    <w:rsid w:val="00EA4E0D"/>
    <w:rsid w:val="00EB44AE"/>
    <w:rsid w:val="00EC0420"/>
    <w:rsid w:val="00EC2473"/>
    <w:rsid w:val="00EC2842"/>
    <w:rsid w:val="00EC4307"/>
    <w:rsid w:val="00EC4D53"/>
    <w:rsid w:val="00EC7D7A"/>
    <w:rsid w:val="00ED1451"/>
    <w:rsid w:val="00ED3A92"/>
    <w:rsid w:val="00ED7BC8"/>
    <w:rsid w:val="00EE23AB"/>
    <w:rsid w:val="00EE6BDE"/>
    <w:rsid w:val="00EF3147"/>
    <w:rsid w:val="00F0101A"/>
    <w:rsid w:val="00F051A9"/>
    <w:rsid w:val="00F05456"/>
    <w:rsid w:val="00F06501"/>
    <w:rsid w:val="00F11F0D"/>
    <w:rsid w:val="00F137AF"/>
    <w:rsid w:val="00F258F3"/>
    <w:rsid w:val="00F30A67"/>
    <w:rsid w:val="00F3366F"/>
    <w:rsid w:val="00F36F00"/>
    <w:rsid w:val="00F42976"/>
    <w:rsid w:val="00F45906"/>
    <w:rsid w:val="00F5018F"/>
    <w:rsid w:val="00F513A1"/>
    <w:rsid w:val="00F51BBF"/>
    <w:rsid w:val="00F51F7A"/>
    <w:rsid w:val="00F561FA"/>
    <w:rsid w:val="00F64772"/>
    <w:rsid w:val="00F84BB3"/>
    <w:rsid w:val="00F85D98"/>
    <w:rsid w:val="00FA252F"/>
    <w:rsid w:val="00FA3C10"/>
    <w:rsid w:val="00FA666A"/>
    <w:rsid w:val="00FB101A"/>
    <w:rsid w:val="00FB21E0"/>
    <w:rsid w:val="00FB2340"/>
    <w:rsid w:val="00FB4930"/>
    <w:rsid w:val="00FB6A08"/>
    <w:rsid w:val="00FB6D7A"/>
    <w:rsid w:val="00FC06AE"/>
    <w:rsid w:val="00FC7BD2"/>
    <w:rsid w:val="00FD29CB"/>
    <w:rsid w:val="00FE38BD"/>
    <w:rsid w:val="00FE4B79"/>
    <w:rsid w:val="00FF06B5"/>
    <w:rsid w:val="00FF16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2B0F"/>
  <w15:docId w15:val="{B5969C5C-0708-4B13-A73A-3F4F4443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B7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5A0A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A0A5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0A5C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0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A0A5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129E-87CD-4178-9E42-3AED06FD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10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Шипулина Елена Валерьевна</cp:lastModifiedBy>
  <cp:revision>445</cp:revision>
  <cp:lastPrinted>2022-03-09T12:32:00Z</cp:lastPrinted>
  <dcterms:created xsi:type="dcterms:W3CDTF">2014-10-14T07:16:00Z</dcterms:created>
  <dcterms:modified xsi:type="dcterms:W3CDTF">2022-03-10T12:45:00Z</dcterms:modified>
</cp:coreProperties>
</file>