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8" w:rsidRPr="00682898" w:rsidRDefault="00682898" w:rsidP="00682898">
      <w:pPr>
        <w:jc w:val="center"/>
        <w:rPr>
          <w:rFonts w:ascii="Arial" w:eastAsia="Calibri" w:hAnsi="Arial" w:cs="Arial"/>
        </w:rPr>
      </w:pPr>
      <w:r w:rsidRPr="00682898">
        <w:rPr>
          <w:rFonts w:ascii="Arial" w:eastAsia="Calibri" w:hAnsi="Arial" w:cs="Arial"/>
        </w:rPr>
        <w:t>АДМИНИСТРАЦИЯ</w:t>
      </w:r>
    </w:p>
    <w:p w:rsidR="00682898" w:rsidRPr="00682898" w:rsidRDefault="00682898" w:rsidP="00682898">
      <w:pPr>
        <w:jc w:val="center"/>
        <w:rPr>
          <w:rFonts w:ascii="Arial" w:eastAsia="Calibri" w:hAnsi="Arial" w:cs="Arial"/>
        </w:rPr>
      </w:pPr>
      <w:r w:rsidRPr="00682898">
        <w:rPr>
          <w:rFonts w:ascii="Arial" w:eastAsia="Calibri" w:hAnsi="Arial" w:cs="Arial"/>
        </w:rPr>
        <w:t>ОДИНЦОВСКОГО ГОРОДСКОГО ОКРУГА</w:t>
      </w:r>
    </w:p>
    <w:p w:rsidR="00682898" w:rsidRPr="00682898" w:rsidRDefault="00682898" w:rsidP="00682898">
      <w:pPr>
        <w:jc w:val="center"/>
        <w:rPr>
          <w:rFonts w:ascii="Arial" w:eastAsia="Calibri" w:hAnsi="Arial" w:cs="Arial"/>
        </w:rPr>
      </w:pPr>
      <w:r w:rsidRPr="00682898">
        <w:rPr>
          <w:rFonts w:ascii="Arial" w:eastAsia="Calibri" w:hAnsi="Arial" w:cs="Arial"/>
        </w:rPr>
        <w:t>МОСКОВСКОЙ ОБЛАСТИ</w:t>
      </w:r>
    </w:p>
    <w:p w:rsidR="00682898" w:rsidRPr="00682898" w:rsidRDefault="00682898" w:rsidP="00682898">
      <w:pPr>
        <w:jc w:val="center"/>
        <w:rPr>
          <w:rFonts w:ascii="Arial" w:eastAsia="Calibri" w:hAnsi="Arial" w:cs="Arial"/>
        </w:rPr>
      </w:pPr>
      <w:r w:rsidRPr="00682898">
        <w:rPr>
          <w:rFonts w:ascii="Arial" w:eastAsia="Calibri" w:hAnsi="Arial" w:cs="Arial"/>
        </w:rPr>
        <w:t>ПОСТАНОВЛЕНИЕ</w:t>
      </w:r>
    </w:p>
    <w:p w:rsidR="00682898" w:rsidRPr="00682898" w:rsidRDefault="00682898" w:rsidP="00682898">
      <w:pPr>
        <w:jc w:val="center"/>
        <w:rPr>
          <w:rFonts w:ascii="Arial" w:eastAsia="Calibri" w:hAnsi="Arial" w:cs="Arial"/>
        </w:rPr>
      </w:pPr>
      <w:r w:rsidRPr="00682898">
        <w:rPr>
          <w:rFonts w:ascii="Arial" w:eastAsia="Calibri" w:hAnsi="Arial" w:cs="Arial"/>
        </w:rPr>
        <w:t>06.05.2022 № 1865</w:t>
      </w:r>
    </w:p>
    <w:p w:rsidR="00FA5E35" w:rsidRPr="00682898" w:rsidRDefault="00FA5E35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</w:p>
    <w:p w:rsidR="001370E0" w:rsidRPr="00682898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682898" w:rsidTr="00714021">
        <w:tc>
          <w:tcPr>
            <w:tcW w:w="9214" w:type="dxa"/>
          </w:tcPr>
          <w:p w:rsidR="00714021" w:rsidRPr="00682898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682898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  <w:r w:rsidR="0027422E" w:rsidRPr="00682898">
              <w:rPr>
                <w:rFonts w:ascii="Arial" w:hAnsi="Arial" w:cs="Arial"/>
                <w:b w:val="0"/>
                <w:sz w:val="24"/>
                <w:szCs w:val="24"/>
              </w:rPr>
              <w:t>и дополнений</w:t>
            </w:r>
          </w:p>
          <w:p w:rsidR="00B24532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682898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682898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682898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682898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2898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682898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2898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682898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682898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682898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682898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98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682898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68289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68289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682898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682898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682898">
        <w:rPr>
          <w:rFonts w:ascii="Arial" w:hAnsi="Arial" w:cs="Arial"/>
        </w:rPr>
        <w:t xml:space="preserve">Московской области </w:t>
      </w:r>
      <w:r w:rsidRPr="00682898">
        <w:rPr>
          <w:rFonts w:ascii="Arial" w:hAnsi="Arial" w:cs="Arial"/>
        </w:rPr>
        <w:t>от 20.08</w:t>
      </w:r>
      <w:r w:rsidR="00C86B19" w:rsidRPr="00682898">
        <w:rPr>
          <w:rFonts w:ascii="Arial" w:hAnsi="Arial" w:cs="Arial"/>
        </w:rPr>
        <w:t>.2019 №</w:t>
      </w:r>
      <w:r w:rsidR="00CA2FCD" w:rsidRPr="00682898">
        <w:rPr>
          <w:rFonts w:ascii="Arial" w:hAnsi="Arial" w:cs="Arial"/>
        </w:rPr>
        <w:t>313,</w:t>
      </w:r>
      <w:r w:rsidR="006D7A55" w:rsidRPr="00682898">
        <w:rPr>
          <w:rFonts w:ascii="Arial" w:hAnsi="Arial" w:cs="Arial"/>
        </w:rPr>
        <w:t xml:space="preserve"> </w:t>
      </w:r>
      <w:r w:rsidR="00493EA9" w:rsidRPr="00682898">
        <w:rPr>
          <w:rFonts w:ascii="Arial" w:hAnsi="Arial" w:cs="Arial"/>
        </w:rPr>
        <w:t xml:space="preserve">в связи с изменением </w:t>
      </w:r>
      <w:r w:rsidR="00D06B17" w:rsidRPr="00682898">
        <w:rPr>
          <w:rFonts w:ascii="Arial" w:hAnsi="Arial" w:cs="Arial"/>
        </w:rPr>
        <w:t xml:space="preserve">перечня мероприятий, </w:t>
      </w:r>
      <w:r w:rsidR="00493EA9" w:rsidRPr="00682898">
        <w:rPr>
          <w:rFonts w:ascii="Arial" w:hAnsi="Arial" w:cs="Arial"/>
        </w:rPr>
        <w:t xml:space="preserve">объемов </w:t>
      </w:r>
      <w:r w:rsidR="00D06B17" w:rsidRPr="00682898">
        <w:rPr>
          <w:rFonts w:ascii="Arial" w:hAnsi="Arial" w:cs="Arial"/>
        </w:rPr>
        <w:t xml:space="preserve">их </w:t>
      </w:r>
      <w:r w:rsidR="00493EA9" w:rsidRPr="00682898">
        <w:rPr>
          <w:rFonts w:ascii="Arial" w:hAnsi="Arial" w:cs="Arial"/>
        </w:rPr>
        <w:t>финансирования на 2022</w:t>
      </w:r>
      <w:r w:rsidR="00FA1BB2" w:rsidRPr="00682898">
        <w:rPr>
          <w:rFonts w:ascii="Arial" w:hAnsi="Arial" w:cs="Arial"/>
        </w:rPr>
        <w:t xml:space="preserve"> </w:t>
      </w:r>
      <w:r w:rsidR="00493EA9" w:rsidRPr="00682898">
        <w:rPr>
          <w:rFonts w:ascii="Arial" w:hAnsi="Arial" w:cs="Arial"/>
        </w:rPr>
        <w:t>-</w:t>
      </w:r>
      <w:r w:rsidR="00FA1BB2" w:rsidRPr="00682898">
        <w:rPr>
          <w:rFonts w:ascii="Arial" w:hAnsi="Arial" w:cs="Arial"/>
        </w:rPr>
        <w:t xml:space="preserve"> </w:t>
      </w:r>
      <w:r w:rsidR="009431A7" w:rsidRPr="00682898">
        <w:rPr>
          <w:rFonts w:ascii="Arial" w:hAnsi="Arial" w:cs="Arial"/>
        </w:rPr>
        <w:t>2024</w:t>
      </w:r>
      <w:r w:rsidR="00493EA9" w:rsidRPr="00682898">
        <w:rPr>
          <w:rFonts w:ascii="Arial" w:hAnsi="Arial" w:cs="Arial"/>
        </w:rPr>
        <w:t xml:space="preserve"> годы</w:t>
      </w:r>
      <w:r w:rsidR="00FA1BB2" w:rsidRPr="00682898">
        <w:rPr>
          <w:rFonts w:ascii="Arial" w:hAnsi="Arial" w:cs="Arial"/>
        </w:rPr>
        <w:t xml:space="preserve">, перечня </w:t>
      </w:r>
      <w:r w:rsidR="00955E26" w:rsidRPr="00682898">
        <w:rPr>
          <w:rFonts w:ascii="Arial" w:hAnsi="Arial" w:cs="Arial"/>
        </w:rPr>
        <w:t xml:space="preserve">и значений </w:t>
      </w:r>
      <w:r w:rsidR="00D06B17" w:rsidRPr="00682898">
        <w:rPr>
          <w:rFonts w:ascii="Arial" w:hAnsi="Arial" w:cs="Arial"/>
        </w:rPr>
        <w:t>показателей реализации</w:t>
      </w:r>
      <w:r w:rsidR="002E713E" w:rsidRPr="00682898">
        <w:rPr>
          <w:rFonts w:ascii="Arial" w:hAnsi="Arial" w:cs="Arial"/>
        </w:rPr>
        <w:t>, изменениями редакционного характера</w:t>
      </w:r>
      <w:r w:rsidR="00D06B17" w:rsidRPr="00682898">
        <w:rPr>
          <w:rFonts w:ascii="Arial" w:hAnsi="Arial" w:cs="Arial"/>
        </w:rPr>
        <w:t xml:space="preserve"> </w:t>
      </w:r>
      <w:r w:rsidR="00AC1413" w:rsidRPr="00682898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682898">
        <w:rPr>
          <w:rFonts w:ascii="Arial" w:hAnsi="Arial" w:cs="Arial"/>
        </w:rPr>
        <w:t>энергоэффективности</w:t>
      </w:r>
      <w:proofErr w:type="spellEnd"/>
      <w:r w:rsidR="00AC1413" w:rsidRPr="00682898">
        <w:rPr>
          <w:rFonts w:ascii="Arial" w:hAnsi="Arial" w:cs="Arial"/>
        </w:rPr>
        <w:t>» на 2020-2024</w:t>
      </w:r>
      <w:proofErr w:type="gramEnd"/>
      <w:r w:rsidR="00AC1413" w:rsidRPr="00682898">
        <w:rPr>
          <w:rFonts w:ascii="Arial" w:hAnsi="Arial" w:cs="Arial"/>
        </w:rPr>
        <w:t xml:space="preserve"> годы, </w:t>
      </w:r>
    </w:p>
    <w:p w:rsidR="00AC1413" w:rsidRPr="00682898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682898" w:rsidRDefault="007C32DA" w:rsidP="0060595B">
      <w:pPr>
        <w:jc w:val="center"/>
        <w:rPr>
          <w:rFonts w:ascii="Arial" w:hAnsi="Arial" w:cs="Arial"/>
        </w:rPr>
      </w:pPr>
      <w:r w:rsidRPr="00682898">
        <w:rPr>
          <w:rFonts w:ascii="Arial" w:hAnsi="Arial" w:cs="Arial"/>
        </w:rPr>
        <w:t>ПОСТАНОВЛЯЮ:</w:t>
      </w:r>
    </w:p>
    <w:p w:rsidR="00204E66" w:rsidRPr="00682898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682898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682898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682898">
        <w:rPr>
          <w:rFonts w:ascii="Arial" w:eastAsia="Calibri" w:hAnsi="Arial" w:cs="Arial"/>
        </w:rPr>
        <w:t>энергоэффективности</w:t>
      </w:r>
      <w:proofErr w:type="spellEnd"/>
      <w:r w:rsidRPr="00682898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682898">
        <w:rPr>
          <w:rFonts w:ascii="Arial" w:hAnsi="Arial" w:cs="Arial"/>
        </w:rPr>
        <w:t>31.10.</w:t>
      </w:r>
      <w:r w:rsidR="00F8363B" w:rsidRPr="00682898">
        <w:rPr>
          <w:rFonts w:ascii="Arial" w:hAnsi="Arial" w:cs="Arial"/>
        </w:rPr>
        <w:t>2019 №</w:t>
      </w:r>
      <w:r w:rsidR="00E30498" w:rsidRPr="00682898">
        <w:rPr>
          <w:rFonts w:ascii="Arial" w:hAnsi="Arial" w:cs="Arial"/>
        </w:rPr>
        <w:t>1293</w:t>
      </w:r>
      <w:r w:rsidR="00F8363B" w:rsidRPr="00682898">
        <w:rPr>
          <w:rFonts w:ascii="Arial" w:hAnsi="Arial" w:cs="Arial"/>
        </w:rPr>
        <w:t xml:space="preserve"> </w:t>
      </w:r>
      <w:r w:rsidRPr="00682898">
        <w:rPr>
          <w:rFonts w:ascii="Arial" w:hAnsi="Arial" w:cs="Arial"/>
        </w:rPr>
        <w:t xml:space="preserve"> </w:t>
      </w:r>
      <w:r w:rsidRPr="00682898">
        <w:rPr>
          <w:rFonts w:ascii="Arial" w:eastAsia="Calibri" w:hAnsi="Arial" w:cs="Arial"/>
        </w:rPr>
        <w:t>«</w:t>
      </w:r>
      <w:r w:rsidRPr="00682898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682898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682898">
        <w:rPr>
          <w:rFonts w:ascii="Arial" w:eastAsia="Calibri" w:hAnsi="Arial" w:cs="Arial"/>
        </w:rPr>
        <w:t>эн</w:t>
      </w:r>
      <w:r w:rsidR="00BA78AD" w:rsidRPr="00682898">
        <w:rPr>
          <w:rFonts w:ascii="Arial" w:eastAsia="Calibri" w:hAnsi="Arial" w:cs="Arial"/>
        </w:rPr>
        <w:t>ергоэффективности</w:t>
      </w:r>
      <w:proofErr w:type="spellEnd"/>
      <w:r w:rsidR="00BA78AD" w:rsidRPr="00682898">
        <w:rPr>
          <w:rFonts w:ascii="Arial" w:eastAsia="Calibri" w:hAnsi="Arial" w:cs="Arial"/>
        </w:rPr>
        <w:t>» на 2020-2024</w:t>
      </w:r>
      <w:r w:rsidR="00484205" w:rsidRPr="00682898">
        <w:rPr>
          <w:rFonts w:ascii="Arial" w:eastAsia="Calibri" w:hAnsi="Arial" w:cs="Arial"/>
        </w:rPr>
        <w:t xml:space="preserve"> </w:t>
      </w:r>
      <w:r w:rsidR="00B33624" w:rsidRPr="00682898">
        <w:rPr>
          <w:rFonts w:ascii="Arial" w:eastAsia="Calibri" w:hAnsi="Arial" w:cs="Arial"/>
        </w:rPr>
        <w:t xml:space="preserve">годы </w:t>
      </w:r>
      <w:r w:rsidR="00484205" w:rsidRPr="00682898">
        <w:rPr>
          <w:rFonts w:ascii="Arial" w:eastAsia="Calibri" w:hAnsi="Arial" w:cs="Arial"/>
        </w:rPr>
        <w:t>(в редакции от</w:t>
      </w:r>
      <w:r w:rsidR="00484205" w:rsidRPr="00682898">
        <w:rPr>
          <w:rFonts w:ascii="Arial" w:eastAsia="Calibri" w:hAnsi="Arial" w:cs="Arial"/>
          <w:color w:val="FF0000"/>
        </w:rPr>
        <w:t xml:space="preserve"> </w:t>
      </w:r>
      <w:r w:rsidR="00CE2359" w:rsidRPr="00682898">
        <w:rPr>
          <w:rFonts w:ascii="Arial" w:eastAsia="Calibri" w:hAnsi="Arial" w:cs="Arial"/>
        </w:rPr>
        <w:t>21.03</w:t>
      </w:r>
      <w:r w:rsidR="0050272C" w:rsidRPr="00682898">
        <w:rPr>
          <w:rFonts w:ascii="Arial" w:eastAsia="Calibri" w:hAnsi="Arial" w:cs="Arial"/>
        </w:rPr>
        <w:t>.202</w:t>
      </w:r>
      <w:r w:rsidR="000A4076" w:rsidRPr="00682898">
        <w:rPr>
          <w:rFonts w:ascii="Arial" w:eastAsia="Calibri" w:hAnsi="Arial" w:cs="Arial"/>
        </w:rPr>
        <w:t>2</w:t>
      </w:r>
      <w:r w:rsidR="007A13BB" w:rsidRPr="00682898">
        <w:rPr>
          <w:rFonts w:ascii="Arial" w:eastAsia="Calibri" w:hAnsi="Arial" w:cs="Arial"/>
        </w:rPr>
        <w:t xml:space="preserve"> </w:t>
      </w:r>
      <w:r w:rsidR="00680FB2" w:rsidRPr="00682898">
        <w:rPr>
          <w:rFonts w:ascii="Arial" w:eastAsia="Calibri" w:hAnsi="Arial" w:cs="Arial"/>
        </w:rPr>
        <w:t>№</w:t>
      </w:r>
      <w:r w:rsidR="00CE2359" w:rsidRPr="00682898">
        <w:rPr>
          <w:rFonts w:ascii="Arial" w:eastAsia="Calibri" w:hAnsi="Arial" w:cs="Arial"/>
        </w:rPr>
        <w:t>1042</w:t>
      </w:r>
      <w:r w:rsidR="00680FB2" w:rsidRPr="00682898">
        <w:rPr>
          <w:rFonts w:ascii="Arial" w:eastAsia="Calibri" w:hAnsi="Arial" w:cs="Arial"/>
        </w:rPr>
        <w:t xml:space="preserve">) </w:t>
      </w:r>
      <w:r w:rsidR="00295C2D" w:rsidRPr="00682898">
        <w:rPr>
          <w:rFonts w:ascii="Arial" w:eastAsia="Calibri" w:hAnsi="Arial" w:cs="Arial"/>
        </w:rPr>
        <w:t xml:space="preserve">                  </w:t>
      </w:r>
      <w:r w:rsidRPr="00682898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682898">
        <w:rPr>
          <w:rFonts w:ascii="Arial" w:hAnsi="Arial" w:cs="Arial"/>
        </w:rPr>
        <w:t xml:space="preserve">следующие </w:t>
      </w:r>
      <w:r w:rsidR="00B50302" w:rsidRPr="00682898">
        <w:rPr>
          <w:rFonts w:ascii="Arial" w:hAnsi="Arial" w:cs="Arial"/>
        </w:rPr>
        <w:t>изменения</w:t>
      </w:r>
      <w:r w:rsidR="0027422E" w:rsidRPr="00682898">
        <w:rPr>
          <w:rFonts w:ascii="Arial" w:hAnsi="Arial" w:cs="Arial"/>
        </w:rPr>
        <w:t xml:space="preserve"> и дополнения</w:t>
      </w:r>
      <w:r w:rsidRPr="00682898">
        <w:rPr>
          <w:rFonts w:ascii="Arial" w:hAnsi="Arial" w:cs="Arial"/>
        </w:rPr>
        <w:t>:</w:t>
      </w:r>
      <w:proofErr w:type="gramEnd"/>
    </w:p>
    <w:p w:rsidR="00C63361" w:rsidRPr="00682898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682898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677F4D" w:rsidRPr="00682898">
        <w:rPr>
          <w:rFonts w:ascii="Arial" w:hAnsi="Arial" w:cs="Arial"/>
          <w:sz w:val="24"/>
          <w:szCs w:val="24"/>
        </w:rPr>
        <w:t>здел «Источники финансирования м</w:t>
      </w:r>
      <w:r w:rsidR="008A6362" w:rsidRPr="00682898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8A6362" w:rsidRPr="00682898">
        <w:rPr>
          <w:rFonts w:ascii="Arial" w:hAnsi="Arial" w:cs="Arial"/>
          <w:sz w:val="24"/>
          <w:szCs w:val="24"/>
        </w:rPr>
        <w:t>:»</w:t>
      </w:r>
      <w:proofErr w:type="gramEnd"/>
      <w:r w:rsidR="008A6362" w:rsidRPr="00682898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682898">
        <w:rPr>
          <w:rFonts w:ascii="Arial" w:hAnsi="Arial" w:cs="Arial"/>
          <w:sz w:val="24"/>
          <w:szCs w:val="24"/>
        </w:rPr>
        <w:t>:</w:t>
      </w:r>
    </w:p>
    <w:p w:rsidR="00FD6626" w:rsidRPr="00682898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AC7EC1" w:rsidRPr="00682898" w:rsidTr="00682898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7" w:rsidRPr="00682898" w:rsidRDefault="00C63361" w:rsidP="00A60CC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Расходы (тыс. рублей)</w:t>
            </w:r>
          </w:p>
        </w:tc>
      </w:tr>
      <w:tr w:rsidR="00AC7EC1" w:rsidRPr="00682898" w:rsidTr="00682898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682898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82898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 год</w:t>
            </w:r>
          </w:p>
        </w:tc>
      </w:tr>
      <w:tr w:rsidR="009431A7" w:rsidRPr="00682898" w:rsidTr="0068289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7" w:rsidRPr="00682898" w:rsidRDefault="009431A7" w:rsidP="001119B1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376 042,80000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219 809,40000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682898" w:rsidRDefault="009431A7" w:rsidP="00BE49C4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35 575,80000</w:t>
            </w:r>
          </w:p>
        </w:tc>
      </w:tr>
      <w:tr w:rsidR="00A60CC3" w:rsidRPr="00682898" w:rsidTr="0068289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82898" w:rsidRDefault="00A60CC3" w:rsidP="00A60CC3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2 400 773,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224 836,62000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181 751,33000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710 925,54000</w:t>
            </w:r>
          </w:p>
        </w:tc>
      </w:tr>
      <w:tr w:rsidR="00A60CC3" w:rsidRPr="00682898" w:rsidTr="00682898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82898" w:rsidRDefault="00A60CC3" w:rsidP="00A60CC3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3 068 328,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23428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1 229 678,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256 300,03946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301 185,36200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473 671,25200</w:t>
            </w:r>
          </w:p>
        </w:tc>
      </w:tr>
      <w:tr w:rsidR="00AC7EC1" w:rsidRPr="00682898" w:rsidTr="00682898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256FC0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1 952 405,</w:t>
            </w:r>
            <w:r w:rsidR="00497B4B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682898" w:rsidRDefault="00E54DE4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385 800,00000</w:t>
            </w:r>
          </w:p>
        </w:tc>
      </w:tr>
      <w:tr w:rsidR="00A60CC3" w:rsidRPr="00682898" w:rsidTr="00682898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A60CC3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7 797 550,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12328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2 027 158,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2 210 636,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865 236,65946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1 088 546,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09200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682898" w:rsidRDefault="00A60CC3" w:rsidP="00006C3E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1 605 972,</w:t>
            </w:r>
            <w:r w:rsidR="00006C3E" w:rsidRPr="00682898">
              <w:rPr>
                <w:rFonts w:ascii="Arial" w:hAnsi="Arial" w:cs="Arial"/>
              </w:rPr>
              <w:t xml:space="preserve"> </w:t>
            </w:r>
            <w:r w:rsidRPr="00682898">
              <w:rPr>
                <w:rFonts w:ascii="Arial" w:hAnsi="Arial" w:cs="Arial"/>
              </w:rPr>
              <w:t>59200</w:t>
            </w:r>
          </w:p>
        </w:tc>
      </w:tr>
    </w:tbl>
    <w:p w:rsidR="00067491" w:rsidRPr="00682898" w:rsidRDefault="00714021" w:rsidP="00D24E2A">
      <w:pPr>
        <w:ind w:firstLine="709"/>
        <w:jc w:val="right"/>
        <w:rPr>
          <w:rFonts w:ascii="Arial" w:hAnsi="Arial" w:cs="Arial"/>
        </w:rPr>
      </w:pPr>
      <w:r w:rsidRPr="00682898">
        <w:rPr>
          <w:rFonts w:ascii="Arial" w:hAnsi="Arial" w:cs="Arial"/>
        </w:rPr>
        <w:t>»;</w:t>
      </w:r>
    </w:p>
    <w:p w:rsidR="00A60CC3" w:rsidRPr="00682898" w:rsidRDefault="00A60CC3" w:rsidP="00A60CC3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A60CC3" w:rsidRPr="00682898" w:rsidRDefault="00A60CC3" w:rsidP="00A60CC3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A60CC3" w:rsidRPr="00682898" w:rsidRDefault="00A60CC3" w:rsidP="00A60CC3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89"/>
        <w:gridCol w:w="1578"/>
        <w:gridCol w:w="1688"/>
        <w:gridCol w:w="937"/>
        <w:gridCol w:w="885"/>
        <w:gridCol w:w="885"/>
        <w:gridCol w:w="937"/>
        <w:gridCol w:w="937"/>
        <w:gridCol w:w="885"/>
      </w:tblGrid>
      <w:tr w:rsidR="00A60CC3" w:rsidRPr="00682898" w:rsidTr="00682898">
        <w:trPr>
          <w:trHeight w:val="497"/>
        </w:trPr>
        <w:tc>
          <w:tcPr>
            <w:tcW w:w="1802" w:type="dxa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22" w:type="dxa"/>
            <w:gridSpan w:val="8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60CC3" w:rsidRPr="00682898" w:rsidTr="00682898">
        <w:trPr>
          <w:trHeight w:val="453"/>
        </w:trPr>
        <w:tc>
          <w:tcPr>
            <w:tcW w:w="1802" w:type="dxa"/>
            <w:vMerge w:val="restart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421" w:type="dxa"/>
            <w:gridSpan w:val="6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Расходы (тыс. руб.)</w:t>
            </w:r>
          </w:p>
        </w:tc>
      </w:tr>
      <w:tr w:rsidR="00A60CC3" w:rsidRPr="00682898" w:rsidTr="00682898">
        <w:trPr>
          <w:trHeight w:val="460"/>
        </w:trPr>
        <w:tc>
          <w:tcPr>
            <w:tcW w:w="1802" w:type="dxa"/>
            <w:vMerge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 год</w:t>
            </w:r>
          </w:p>
        </w:tc>
        <w:tc>
          <w:tcPr>
            <w:tcW w:w="801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2021 </w:t>
            </w:r>
          </w:p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год</w:t>
            </w:r>
          </w:p>
        </w:tc>
        <w:tc>
          <w:tcPr>
            <w:tcW w:w="858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 год</w:t>
            </w:r>
          </w:p>
        </w:tc>
        <w:tc>
          <w:tcPr>
            <w:tcW w:w="988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 год</w:t>
            </w:r>
          </w:p>
        </w:tc>
        <w:tc>
          <w:tcPr>
            <w:tcW w:w="855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 год</w:t>
            </w:r>
          </w:p>
        </w:tc>
        <w:tc>
          <w:tcPr>
            <w:tcW w:w="966" w:type="dxa"/>
            <w:vAlign w:val="center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Итого:</w:t>
            </w:r>
          </w:p>
        </w:tc>
      </w:tr>
      <w:tr w:rsidR="0021244A" w:rsidRPr="00682898" w:rsidTr="00682898">
        <w:trPr>
          <w:trHeight w:val="400"/>
        </w:trPr>
        <w:tc>
          <w:tcPr>
            <w:tcW w:w="1802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21244A" w:rsidRPr="00682898" w:rsidRDefault="0021244A" w:rsidP="0021244A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53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237 665,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64107</w:t>
            </w:r>
          </w:p>
        </w:tc>
        <w:tc>
          <w:tcPr>
            <w:tcW w:w="801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67 681,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80813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31 233,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93000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473 686,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120 973,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53000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931 241, 84920</w:t>
            </w:r>
          </w:p>
        </w:tc>
      </w:tr>
      <w:tr w:rsidR="0021244A" w:rsidRPr="00682898" w:rsidTr="00682898">
        <w:trPr>
          <w:trHeight w:val="732"/>
        </w:trPr>
        <w:tc>
          <w:tcPr>
            <w:tcW w:w="1802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3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108 750,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00000</w:t>
            </w:r>
          </w:p>
        </w:tc>
        <w:tc>
          <w:tcPr>
            <w:tcW w:w="801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11 907,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219 809,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35 575,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376 042, 80000</w:t>
            </w:r>
          </w:p>
        </w:tc>
      </w:tr>
      <w:tr w:rsidR="0021244A" w:rsidRPr="00682898" w:rsidTr="00682898">
        <w:trPr>
          <w:trHeight w:val="928"/>
        </w:trPr>
        <w:tc>
          <w:tcPr>
            <w:tcW w:w="1802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3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36 250,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00000</w:t>
            </w:r>
          </w:p>
        </w:tc>
        <w:tc>
          <w:tcPr>
            <w:tcW w:w="801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28 827,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98000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5 896,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21000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76 394,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37 212,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39000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184 581, 38000</w:t>
            </w:r>
          </w:p>
        </w:tc>
      </w:tr>
      <w:tr w:rsidR="0021244A" w:rsidRPr="00682898" w:rsidTr="00682898">
        <w:trPr>
          <w:trHeight w:val="1230"/>
        </w:trPr>
        <w:tc>
          <w:tcPr>
            <w:tcW w:w="1802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21244A" w:rsidRPr="00682898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92 665,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64107</w:t>
            </w:r>
          </w:p>
        </w:tc>
        <w:tc>
          <w:tcPr>
            <w:tcW w:w="801" w:type="dxa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26 946,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22813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25 337,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177 482,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48 185,</w:t>
            </w:r>
          </w:p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34000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682898" w:rsidRDefault="0021244A" w:rsidP="0021244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370 617, 66920</w:t>
            </w:r>
          </w:p>
        </w:tc>
      </w:tr>
      <w:tr w:rsidR="00A60CC3" w:rsidRPr="00682898" w:rsidTr="00682898">
        <w:trPr>
          <w:trHeight w:val="542"/>
        </w:trPr>
        <w:tc>
          <w:tcPr>
            <w:tcW w:w="1802" w:type="dxa"/>
            <w:vMerge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60CC3" w:rsidRPr="00682898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53" w:type="dxa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60CC3" w:rsidRPr="00682898" w:rsidRDefault="00A60CC3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</w:tbl>
    <w:p w:rsidR="00A60CC3" w:rsidRPr="00682898" w:rsidRDefault="00A60CC3" w:rsidP="00A60CC3">
      <w:pPr>
        <w:ind w:firstLine="709"/>
        <w:jc w:val="right"/>
        <w:rPr>
          <w:rFonts w:ascii="Arial" w:hAnsi="Arial" w:cs="Arial"/>
        </w:rPr>
      </w:pPr>
      <w:r w:rsidRPr="00682898">
        <w:rPr>
          <w:rFonts w:ascii="Arial" w:hAnsi="Arial" w:cs="Arial"/>
        </w:rPr>
        <w:t>»;</w:t>
      </w:r>
    </w:p>
    <w:p w:rsidR="00D24E2A" w:rsidRPr="00682898" w:rsidRDefault="00D24E2A" w:rsidP="00D24E2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24E2A" w:rsidRPr="00682898" w:rsidRDefault="00D24E2A" w:rsidP="00D24E2A">
      <w:pPr>
        <w:jc w:val="center"/>
        <w:rPr>
          <w:rFonts w:ascii="Arial" w:hAnsi="Arial" w:cs="Arial"/>
        </w:rPr>
      </w:pPr>
      <w:r w:rsidRPr="00682898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p w:rsidR="00B15603" w:rsidRPr="00682898" w:rsidRDefault="00B15603" w:rsidP="00D24E2A">
      <w:pPr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AC7EC1" w:rsidRPr="00682898" w:rsidTr="00682898">
        <w:trPr>
          <w:trHeight w:val="453"/>
        </w:trPr>
        <w:tc>
          <w:tcPr>
            <w:tcW w:w="1792" w:type="dxa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682898" w:rsidTr="00682898">
        <w:trPr>
          <w:trHeight w:val="453"/>
        </w:trPr>
        <w:tc>
          <w:tcPr>
            <w:tcW w:w="1792" w:type="dxa"/>
            <w:vMerge w:val="restart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Источники финансирования подпрограмм</w:t>
            </w:r>
            <w:r w:rsidRPr="00682898">
              <w:rPr>
                <w:rFonts w:ascii="Arial" w:hAnsi="Arial" w:cs="Arial"/>
              </w:rPr>
              <w:lastRenderedPageBreak/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 xml:space="preserve">Главный распорядитель бюджетных </w:t>
            </w:r>
            <w:r w:rsidRPr="00682898">
              <w:rPr>
                <w:rFonts w:ascii="Arial" w:hAnsi="Arial" w:cs="Arial"/>
              </w:rPr>
              <w:lastRenderedPageBreak/>
              <w:t>средств</w:t>
            </w:r>
          </w:p>
        </w:tc>
        <w:tc>
          <w:tcPr>
            <w:tcW w:w="1539" w:type="dxa"/>
            <w:vMerge w:val="restart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682898" w:rsidTr="00682898">
        <w:trPr>
          <w:trHeight w:val="460"/>
        </w:trPr>
        <w:tc>
          <w:tcPr>
            <w:tcW w:w="1792" w:type="dxa"/>
            <w:vMerge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Итого:</w:t>
            </w:r>
          </w:p>
        </w:tc>
      </w:tr>
      <w:tr w:rsidR="006E643C" w:rsidRPr="00682898" w:rsidTr="00682898">
        <w:trPr>
          <w:trHeight w:val="469"/>
        </w:trPr>
        <w:tc>
          <w:tcPr>
            <w:tcW w:w="1792" w:type="dxa"/>
            <w:vMerge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6E643C" w:rsidRPr="00682898" w:rsidRDefault="006E643C" w:rsidP="00FC0D04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393 452, 20634</w:t>
            </w:r>
          </w:p>
        </w:tc>
        <w:tc>
          <w:tcPr>
            <w:tcW w:w="1032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506 488, 43497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271 248, 68958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96 334, 56000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1 387 523, 89089</w:t>
            </w:r>
          </w:p>
        </w:tc>
      </w:tr>
      <w:tr w:rsidR="006E643C" w:rsidRPr="00682898" w:rsidTr="00682898">
        <w:trPr>
          <w:trHeight w:val="958"/>
        </w:trPr>
        <w:tc>
          <w:tcPr>
            <w:tcW w:w="1792" w:type="dxa"/>
            <w:vMerge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233 190, 98000</w:t>
            </w:r>
          </w:p>
        </w:tc>
        <w:tc>
          <w:tcPr>
            <w:tcW w:w="1032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318 269, 05000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141 732, 41000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59 318, 20000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827 510, 64000</w:t>
            </w:r>
          </w:p>
        </w:tc>
      </w:tr>
      <w:tr w:rsidR="006E643C" w:rsidRPr="00682898" w:rsidTr="00682898">
        <w:trPr>
          <w:trHeight w:val="1356"/>
        </w:trPr>
        <w:tc>
          <w:tcPr>
            <w:tcW w:w="1792" w:type="dxa"/>
            <w:vMerge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6E643C" w:rsidRPr="00682898" w:rsidRDefault="006E643C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160 261, 22634</w:t>
            </w:r>
          </w:p>
        </w:tc>
        <w:tc>
          <w:tcPr>
            <w:tcW w:w="1032" w:type="dxa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188 219, 38497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129 516, 27958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37 016, 36000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82898" w:rsidRDefault="006E643C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560 013, 25089</w:t>
            </w:r>
          </w:p>
        </w:tc>
      </w:tr>
      <w:tr w:rsidR="00AC7EC1" w:rsidRPr="00682898" w:rsidTr="00682898">
        <w:trPr>
          <w:trHeight w:val="553"/>
        </w:trPr>
        <w:tc>
          <w:tcPr>
            <w:tcW w:w="1792" w:type="dxa"/>
            <w:vMerge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D24E2A" w:rsidRPr="00682898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24E2A" w:rsidRPr="00682898" w:rsidRDefault="00D24E2A" w:rsidP="006E643C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F62DEC" w:rsidRPr="00682898" w:rsidRDefault="00D24E2A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»;</w:t>
      </w:r>
    </w:p>
    <w:p w:rsidR="00F62DEC" w:rsidRPr="00682898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подраздел 10</w:t>
      </w:r>
      <w:r w:rsidRPr="00682898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682898">
        <w:rPr>
          <w:rFonts w:ascii="Arial" w:hAnsi="Arial" w:cs="Arial"/>
          <w:sz w:val="24"/>
          <w:szCs w:val="24"/>
        </w:rPr>
        <w:t>10 «Подпрограмма</w:t>
      </w:r>
      <w:r w:rsidRPr="0068289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2898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Pr="00682898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682898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682898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F62DEC" w:rsidRPr="00682898" w:rsidTr="00682898">
        <w:trPr>
          <w:trHeight w:val="453"/>
        </w:trPr>
        <w:tc>
          <w:tcPr>
            <w:tcW w:w="19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62DEC" w:rsidRPr="00682898" w:rsidTr="00682898">
        <w:trPr>
          <w:trHeight w:val="453"/>
        </w:trPr>
        <w:tc>
          <w:tcPr>
            <w:tcW w:w="1986" w:type="dxa"/>
            <w:vMerge w:val="restart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Расходы (тыс. руб.)</w:t>
            </w:r>
          </w:p>
        </w:tc>
      </w:tr>
      <w:tr w:rsidR="00F62DEC" w:rsidRPr="00682898" w:rsidTr="00682898">
        <w:trPr>
          <w:trHeight w:val="460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Итого:</w:t>
            </w:r>
          </w:p>
        </w:tc>
      </w:tr>
      <w:tr w:rsidR="00811947" w:rsidRPr="00682898" w:rsidTr="00682898">
        <w:trPr>
          <w:trHeight w:val="481"/>
        </w:trPr>
        <w:tc>
          <w:tcPr>
            <w:tcW w:w="1986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811947" w:rsidRPr="00682898" w:rsidRDefault="00811947" w:rsidP="00811947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561 134, 36908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516 931, 86000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1 363 406, 33000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5 467 679, 04895</w:t>
            </w:r>
          </w:p>
        </w:tc>
      </w:tr>
      <w:tr w:rsidR="00811947" w:rsidRPr="00682898" w:rsidTr="00682898">
        <w:trPr>
          <w:trHeight w:val="1058"/>
        </w:trPr>
        <w:tc>
          <w:tcPr>
            <w:tcW w:w="1986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77 208, 00000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46 038, 33000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598 713, 15000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1 387 387, 50000</w:t>
            </w:r>
          </w:p>
        </w:tc>
      </w:tr>
      <w:tr w:rsidR="00811947" w:rsidRPr="00682898" w:rsidTr="00682898">
        <w:trPr>
          <w:trHeight w:val="1271"/>
        </w:trPr>
        <w:tc>
          <w:tcPr>
            <w:tcW w:w="1986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99 826, 36908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85 093, 53000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378 893, 18000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2 127 885, 97995</w:t>
            </w:r>
          </w:p>
        </w:tc>
      </w:tr>
      <w:tr w:rsidR="00F62DEC" w:rsidRPr="00682898" w:rsidTr="00682898">
        <w:trPr>
          <w:trHeight w:val="530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1 952 405, 56900</w:t>
            </w:r>
          </w:p>
        </w:tc>
      </w:tr>
      <w:tr w:rsidR="00811947" w:rsidRPr="00682898" w:rsidTr="00682898">
        <w:trPr>
          <w:trHeight w:val="587"/>
        </w:trPr>
        <w:tc>
          <w:tcPr>
            <w:tcW w:w="1986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561 134, 36908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516 931, 86000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1 363 406, 33000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5 057 716, 26637</w:t>
            </w:r>
          </w:p>
        </w:tc>
      </w:tr>
      <w:tr w:rsidR="00811947" w:rsidRPr="00682898" w:rsidTr="00682898">
        <w:trPr>
          <w:trHeight w:val="1096"/>
        </w:trPr>
        <w:tc>
          <w:tcPr>
            <w:tcW w:w="1986" w:type="dxa"/>
            <w:vMerge/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46 038, 33000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598 713, 15000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1 040 308, 50000</w:t>
            </w:r>
          </w:p>
        </w:tc>
      </w:tr>
      <w:tr w:rsidR="00811947" w:rsidRPr="00682898" w:rsidTr="00682898">
        <w:trPr>
          <w:trHeight w:val="127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11947" w:rsidRPr="00682898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99 826, 36908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85 093, 53000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378 893, 18000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682898" w:rsidRDefault="00811947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2 065 002, 19737</w:t>
            </w:r>
          </w:p>
        </w:tc>
      </w:tr>
      <w:tr w:rsidR="00BE49C4" w:rsidRPr="00682898" w:rsidTr="00682898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49C4" w:rsidRPr="00682898" w:rsidRDefault="00BE49C4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C4" w:rsidRPr="00682898" w:rsidRDefault="00BE49C4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BE49C4" w:rsidRPr="00682898" w:rsidRDefault="00BE49C4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49C4" w:rsidRPr="00682898" w:rsidRDefault="00BE49C4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1 952 405, 56900</w:t>
            </w:r>
          </w:p>
        </w:tc>
      </w:tr>
      <w:tr w:rsidR="00F62DEC" w:rsidRPr="00682898" w:rsidTr="00682898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F62DEC" w:rsidRPr="00682898" w:rsidTr="00682898">
        <w:trPr>
          <w:trHeight w:val="975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F62DEC" w:rsidRPr="00682898" w:rsidTr="00682898">
        <w:trPr>
          <w:trHeight w:val="1230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F62DEC" w:rsidRPr="00682898" w:rsidTr="00682898">
        <w:trPr>
          <w:trHeight w:val="383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409 962,</w:t>
            </w:r>
          </w:p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409 962,</w:t>
            </w:r>
          </w:p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78258</w:t>
            </w:r>
          </w:p>
        </w:tc>
      </w:tr>
      <w:tr w:rsidR="00F62DEC" w:rsidRPr="00682898" w:rsidTr="00682898">
        <w:trPr>
          <w:trHeight w:val="960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347 079,</w:t>
            </w:r>
          </w:p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347 079,</w:t>
            </w:r>
          </w:p>
          <w:p w:rsidR="00F62DEC" w:rsidRPr="00682898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00000</w:t>
            </w:r>
          </w:p>
        </w:tc>
      </w:tr>
      <w:tr w:rsidR="00F62DEC" w:rsidRPr="00682898" w:rsidTr="00682898">
        <w:trPr>
          <w:trHeight w:val="1260"/>
        </w:trPr>
        <w:tc>
          <w:tcPr>
            <w:tcW w:w="1986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682898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62 883,</w:t>
            </w:r>
          </w:p>
          <w:p w:rsidR="00F62DEC" w:rsidRPr="00682898" w:rsidRDefault="00F62DEC" w:rsidP="0081194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682898" w:rsidRDefault="00F62DEC" w:rsidP="00811947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682898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62 883,</w:t>
            </w:r>
          </w:p>
          <w:p w:rsidR="00F62DEC" w:rsidRPr="00682898" w:rsidRDefault="00F62DEC" w:rsidP="0081194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682898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F62DEC" w:rsidRPr="00682898" w:rsidRDefault="00F62DEC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»;</w:t>
      </w:r>
    </w:p>
    <w:p w:rsidR="00534D59" w:rsidRPr="00682898" w:rsidRDefault="00534D59" w:rsidP="00CE23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lastRenderedPageBreak/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редакции:</w:t>
      </w:r>
    </w:p>
    <w:p w:rsidR="00534D59" w:rsidRPr="00682898" w:rsidRDefault="00534D59" w:rsidP="00534D59">
      <w:pPr>
        <w:jc w:val="center"/>
        <w:rPr>
          <w:rFonts w:ascii="Arial" w:hAnsi="Arial" w:cs="Arial"/>
        </w:rPr>
      </w:pPr>
      <w:r w:rsidRPr="00682898">
        <w:rPr>
          <w:rFonts w:ascii="Arial" w:hAnsi="Arial" w:cs="Arial"/>
        </w:rPr>
        <w:t>«11.1. ПАСПОРТ ПОДПРОГРАММЫ МУНИЦИПАЛЬНОЙ ПРОГРАММЫ</w:t>
      </w:r>
    </w:p>
    <w:p w:rsidR="00534D59" w:rsidRPr="00682898" w:rsidRDefault="00534D59" w:rsidP="00534D59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8"/>
        <w:gridCol w:w="1990"/>
        <w:gridCol w:w="854"/>
        <w:gridCol w:w="853"/>
        <w:gridCol w:w="995"/>
        <w:gridCol w:w="854"/>
        <w:gridCol w:w="853"/>
        <w:gridCol w:w="996"/>
      </w:tblGrid>
      <w:tr w:rsidR="00534D59" w:rsidRPr="00682898" w:rsidTr="00682898">
        <w:trPr>
          <w:trHeight w:val="300"/>
        </w:trPr>
        <w:tc>
          <w:tcPr>
            <w:tcW w:w="1668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34D59" w:rsidRPr="00682898" w:rsidTr="00682898">
        <w:tc>
          <w:tcPr>
            <w:tcW w:w="1668" w:type="dxa"/>
            <w:vMerge w:val="restart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Расходы (тыс. руб.)</w:t>
            </w:r>
          </w:p>
        </w:tc>
      </w:tr>
      <w:tr w:rsidR="00534D59" w:rsidRPr="00682898" w:rsidTr="00682898">
        <w:tc>
          <w:tcPr>
            <w:tcW w:w="1668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Итого:</w:t>
            </w:r>
          </w:p>
        </w:tc>
      </w:tr>
      <w:tr w:rsidR="00534D59" w:rsidRPr="00682898" w:rsidTr="00682898">
        <w:trPr>
          <w:trHeight w:val="577"/>
        </w:trPr>
        <w:tc>
          <w:tcPr>
            <w:tcW w:w="1668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650,34520</w:t>
            </w:r>
          </w:p>
        </w:tc>
      </w:tr>
      <w:tr w:rsidR="00534D59" w:rsidRPr="00682898" w:rsidTr="00682898">
        <w:trPr>
          <w:trHeight w:val="836"/>
        </w:trPr>
        <w:tc>
          <w:tcPr>
            <w:tcW w:w="1668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650, 34520</w:t>
            </w:r>
          </w:p>
        </w:tc>
      </w:tr>
      <w:tr w:rsidR="00534D59" w:rsidRPr="00682898" w:rsidTr="00682898">
        <w:trPr>
          <w:trHeight w:val="691"/>
        </w:trPr>
        <w:tc>
          <w:tcPr>
            <w:tcW w:w="1668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534D59" w:rsidRPr="00682898" w:rsidTr="00682898">
        <w:trPr>
          <w:trHeight w:val="683"/>
        </w:trPr>
        <w:tc>
          <w:tcPr>
            <w:tcW w:w="1668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650,34520</w:t>
            </w:r>
          </w:p>
        </w:tc>
      </w:tr>
      <w:tr w:rsidR="00534D59" w:rsidRPr="00682898" w:rsidTr="00682898">
        <w:trPr>
          <w:trHeight w:val="906"/>
        </w:trPr>
        <w:tc>
          <w:tcPr>
            <w:tcW w:w="1668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4D59" w:rsidRPr="00682898" w:rsidRDefault="00534D59" w:rsidP="00534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650,34520</w:t>
            </w:r>
          </w:p>
        </w:tc>
      </w:tr>
      <w:tr w:rsidR="00534D59" w:rsidRPr="00682898" w:rsidTr="00682898">
        <w:trPr>
          <w:trHeight w:val="555"/>
        </w:trPr>
        <w:tc>
          <w:tcPr>
            <w:tcW w:w="1668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534D59" w:rsidRPr="00682898" w:rsidTr="00682898">
        <w:trPr>
          <w:trHeight w:val="652"/>
        </w:trPr>
        <w:tc>
          <w:tcPr>
            <w:tcW w:w="1668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Всего,</w:t>
            </w:r>
          </w:p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  <w:tr w:rsidR="00534D59" w:rsidRPr="00682898" w:rsidTr="00682898">
        <w:trPr>
          <w:trHeight w:val="894"/>
        </w:trPr>
        <w:tc>
          <w:tcPr>
            <w:tcW w:w="1668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4D59" w:rsidRPr="00682898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682898" w:rsidRDefault="00534D59" w:rsidP="00534D59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</w:tr>
    </w:tbl>
    <w:p w:rsidR="009F597B" w:rsidRPr="00682898" w:rsidRDefault="009F597B" w:rsidP="009F597B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»;</w:t>
      </w:r>
    </w:p>
    <w:p w:rsidR="00CE2359" w:rsidRPr="00682898" w:rsidRDefault="00CE2359" w:rsidP="00CE23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подр</w:t>
      </w:r>
      <w:r w:rsidRPr="00682898">
        <w:rPr>
          <w:rFonts w:ascii="Arial" w:hAnsi="Arial" w:cs="Arial"/>
          <w:color w:val="000000" w:themeColor="text1"/>
          <w:sz w:val="24"/>
          <w:szCs w:val="24"/>
        </w:rPr>
        <w:t xml:space="preserve">аздел </w:t>
      </w:r>
      <w:r w:rsidRPr="00682898">
        <w:rPr>
          <w:rFonts w:ascii="Arial" w:hAnsi="Arial" w:cs="Arial"/>
          <w:sz w:val="24"/>
          <w:szCs w:val="24"/>
        </w:rPr>
        <w:t xml:space="preserve">12.1 раздела 12 «Подпрограмма «Развитие газификации» </w:t>
      </w:r>
      <w:r w:rsidRPr="00682898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изложить в следующей редакции:</w:t>
      </w:r>
    </w:p>
    <w:p w:rsidR="00CE2359" w:rsidRPr="00682898" w:rsidRDefault="00CE2359" w:rsidP="00CE2359">
      <w:pPr>
        <w:jc w:val="center"/>
        <w:rPr>
          <w:rFonts w:ascii="Arial" w:hAnsi="Arial" w:cs="Arial"/>
          <w:color w:val="000000" w:themeColor="text1"/>
        </w:rPr>
      </w:pPr>
      <w:r w:rsidRPr="00682898">
        <w:rPr>
          <w:rFonts w:ascii="Arial" w:hAnsi="Arial" w:cs="Arial"/>
          <w:color w:val="000000" w:themeColor="text1"/>
        </w:rPr>
        <w:t>«12.1. ПАСПОРТ ПОДПРОГРАММЫ МУНИЦИПАЛЬНОЙ ПРОГРАММЫ «Развитие газификации»</w:t>
      </w:r>
    </w:p>
    <w:p w:rsidR="00EE7024" w:rsidRPr="00682898" w:rsidRDefault="00EE7024" w:rsidP="00CE2359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848"/>
        <w:gridCol w:w="1466"/>
        <w:gridCol w:w="1903"/>
        <w:gridCol w:w="816"/>
        <w:gridCol w:w="815"/>
        <w:gridCol w:w="949"/>
        <w:gridCol w:w="778"/>
        <w:gridCol w:w="816"/>
        <w:gridCol w:w="815"/>
      </w:tblGrid>
      <w:tr w:rsidR="00CE2359" w:rsidRPr="00682898" w:rsidTr="00682898">
        <w:trPr>
          <w:trHeight w:val="453"/>
        </w:trPr>
        <w:tc>
          <w:tcPr>
            <w:tcW w:w="1946" w:type="dxa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lastRenderedPageBreak/>
              <w:t>Муниципальный заказчик подпрограммы</w:t>
            </w:r>
          </w:p>
        </w:tc>
        <w:tc>
          <w:tcPr>
            <w:tcW w:w="8749" w:type="dxa"/>
            <w:gridSpan w:val="8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CE2359" w:rsidRPr="00682898" w:rsidTr="00682898">
        <w:trPr>
          <w:trHeight w:val="453"/>
        </w:trPr>
        <w:tc>
          <w:tcPr>
            <w:tcW w:w="1946" w:type="dxa"/>
            <w:vMerge w:val="restart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40" w:type="dxa"/>
            <w:vMerge w:val="restart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004" w:type="dxa"/>
            <w:vMerge w:val="restart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205" w:type="dxa"/>
            <w:gridSpan w:val="6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CE2359" w:rsidRPr="00682898" w:rsidTr="00682898">
        <w:trPr>
          <w:trHeight w:val="460"/>
        </w:trPr>
        <w:tc>
          <w:tcPr>
            <w:tcW w:w="1946" w:type="dxa"/>
            <w:vMerge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vMerge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4" w:type="dxa"/>
            <w:vMerge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2021  год</w:t>
            </w:r>
          </w:p>
        </w:tc>
        <w:tc>
          <w:tcPr>
            <w:tcW w:w="992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11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CE2359" w:rsidRPr="00682898" w:rsidTr="00682898">
        <w:tc>
          <w:tcPr>
            <w:tcW w:w="1946" w:type="dxa"/>
            <w:vMerge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vMerge w:val="restart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2004" w:type="dxa"/>
          </w:tcPr>
          <w:p w:rsidR="00CE2359" w:rsidRPr="00682898" w:rsidRDefault="00CE2359" w:rsidP="00E44BB6">
            <w:pPr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CE2359" w:rsidRPr="00682898" w:rsidRDefault="00CE2359" w:rsidP="00E44BB6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2 000,</w:t>
            </w:r>
          </w:p>
          <w:p w:rsidR="00CE2359" w:rsidRPr="00682898" w:rsidRDefault="00CE2359" w:rsidP="00E44BB6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59" w:rsidRPr="00682898" w:rsidRDefault="00CE2359" w:rsidP="00E44BB6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179,30000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59" w:rsidRPr="00682898" w:rsidRDefault="00CE2359" w:rsidP="00E44BB6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359" w:rsidRPr="00682898" w:rsidRDefault="00CE2359" w:rsidP="00A6357A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2 </w:t>
            </w:r>
            <w:r w:rsidR="00A6357A" w:rsidRPr="00682898">
              <w:rPr>
                <w:rFonts w:ascii="Arial" w:hAnsi="Arial" w:cs="Arial"/>
              </w:rPr>
              <w:t>179</w:t>
            </w:r>
            <w:r w:rsidRPr="00682898">
              <w:rPr>
                <w:rFonts w:ascii="Arial" w:hAnsi="Arial" w:cs="Arial"/>
              </w:rPr>
              <w:t xml:space="preserve">, </w:t>
            </w:r>
            <w:r w:rsidR="00A6357A" w:rsidRPr="00682898">
              <w:rPr>
                <w:rFonts w:ascii="Arial" w:hAnsi="Arial" w:cs="Arial"/>
              </w:rPr>
              <w:t>3</w:t>
            </w:r>
            <w:r w:rsidRPr="00682898">
              <w:rPr>
                <w:rFonts w:ascii="Arial" w:hAnsi="Arial" w:cs="Arial"/>
              </w:rPr>
              <w:t>0000</w:t>
            </w:r>
          </w:p>
        </w:tc>
      </w:tr>
      <w:tr w:rsidR="00CE2359" w:rsidRPr="00682898" w:rsidTr="00682898">
        <w:trPr>
          <w:trHeight w:val="205"/>
        </w:trPr>
        <w:tc>
          <w:tcPr>
            <w:tcW w:w="1946" w:type="dxa"/>
            <w:vMerge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vMerge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4" w:type="dxa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2 000,</w:t>
            </w:r>
          </w:p>
          <w:p w:rsidR="00CE2359" w:rsidRPr="00682898" w:rsidRDefault="00CE2359" w:rsidP="00E44BB6">
            <w:pPr>
              <w:jc w:val="center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179,30000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59" w:rsidRPr="00682898" w:rsidRDefault="00CE2359" w:rsidP="00E44B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359" w:rsidRPr="00682898" w:rsidRDefault="00A6357A" w:rsidP="00E44BB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2 179, 30000</w:t>
            </w:r>
          </w:p>
        </w:tc>
      </w:tr>
    </w:tbl>
    <w:p w:rsidR="00CE2359" w:rsidRPr="00682898" w:rsidRDefault="00CE2359" w:rsidP="00CE2359">
      <w:pPr>
        <w:pStyle w:val="a4"/>
        <w:spacing w:after="0" w:line="240" w:lineRule="auto"/>
        <w:ind w:left="709"/>
        <w:jc w:val="right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682898">
        <w:rPr>
          <w:rFonts w:ascii="Arial" w:eastAsia="SimSun" w:hAnsi="Arial" w:cs="Arial"/>
          <w:bCs/>
          <w:color w:val="000000" w:themeColor="text1"/>
          <w:sz w:val="24"/>
          <w:szCs w:val="24"/>
        </w:rPr>
        <w:t>»;</w:t>
      </w:r>
    </w:p>
    <w:p w:rsidR="00CE2359" w:rsidRPr="00682898" w:rsidRDefault="00CE2359" w:rsidP="00CE2359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Муниципальной программы изложить в следующей редакции:</w:t>
      </w:r>
    </w:p>
    <w:p w:rsidR="00CE2359" w:rsidRPr="00682898" w:rsidRDefault="00CE2359" w:rsidP="00CE2359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«13.1. ПАСПОРТ ПОДПРОГРАММЫ МУНИЦИПАЛЬНОЙ ПРОГРАММЫ</w:t>
      </w:r>
    </w:p>
    <w:p w:rsidR="00CE2359" w:rsidRPr="00682898" w:rsidRDefault="00CE2359" w:rsidP="00CE2359">
      <w:pPr>
        <w:pStyle w:val="a4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«Обеспечивающая подпрограмма»</w:t>
      </w:r>
    </w:p>
    <w:p w:rsidR="00EE7024" w:rsidRPr="00682898" w:rsidRDefault="00EE7024" w:rsidP="00CE2359">
      <w:pPr>
        <w:pStyle w:val="a4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362"/>
        <w:gridCol w:w="2018"/>
        <w:gridCol w:w="950"/>
        <w:gridCol w:w="949"/>
        <w:gridCol w:w="815"/>
        <w:gridCol w:w="778"/>
        <w:gridCol w:w="816"/>
        <w:gridCol w:w="815"/>
      </w:tblGrid>
      <w:tr w:rsidR="00CE2359" w:rsidRPr="00682898" w:rsidTr="00682898">
        <w:trPr>
          <w:trHeight w:val="453"/>
        </w:trPr>
        <w:tc>
          <w:tcPr>
            <w:tcW w:w="1792" w:type="dxa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CE2359" w:rsidRPr="00682898" w:rsidTr="00682898">
        <w:trPr>
          <w:trHeight w:val="453"/>
        </w:trPr>
        <w:tc>
          <w:tcPr>
            <w:tcW w:w="1792" w:type="dxa"/>
            <w:vMerge w:val="restart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30" w:type="dxa"/>
            <w:vMerge w:val="restart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CE2359" w:rsidRPr="00682898" w:rsidTr="00682898">
        <w:trPr>
          <w:trHeight w:val="460"/>
        </w:trPr>
        <w:tc>
          <w:tcPr>
            <w:tcW w:w="1792" w:type="dxa"/>
            <w:vMerge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11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E2359" w:rsidRPr="00682898" w:rsidRDefault="00CE2359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523036" w:rsidRPr="00682898" w:rsidTr="00682898">
        <w:trPr>
          <w:trHeight w:val="491"/>
        </w:trPr>
        <w:tc>
          <w:tcPr>
            <w:tcW w:w="1792" w:type="dxa"/>
            <w:vMerge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 w:val="restart"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523036" w:rsidRPr="00682898" w:rsidRDefault="00523036" w:rsidP="00E44BB6">
            <w:pPr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1 332, 28900</w:t>
            </w:r>
          </w:p>
        </w:tc>
        <w:tc>
          <w:tcPr>
            <w:tcW w:w="992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2 848, 84324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1 440, 37080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1 327, 09300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1 327, 09300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8 275, 68904</w:t>
            </w:r>
          </w:p>
        </w:tc>
      </w:tr>
      <w:tr w:rsidR="00523036" w:rsidRPr="00682898" w:rsidTr="00682898">
        <w:trPr>
          <w:trHeight w:val="771"/>
        </w:trPr>
        <w:tc>
          <w:tcPr>
            <w:tcW w:w="1792" w:type="dxa"/>
            <w:vMerge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632,00000</w:t>
            </w:r>
          </w:p>
        </w:tc>
        <w:tc>
          <w:tcPr>
            <w:tcW w:w="992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662,00000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1 294, 00000</w:t>
            </w:r>
          </w:p>
        </w:tc>
      </w:tr>
      <w:tr w:rsidR="00523036" w:rsidRPr="00682898" w:rsidTr="00682898">
        <w:trPr>
          <w:trHeight w:val="696"/>
        </w:trPr>
        <w:tc>
          <w:tcPr>
            <w:tcW w:w="1792" w:type="dxa"/>
            <w:vMerge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523036" w:rsidRPr="00682898" w:rsidRDefault="00523036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82898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700,28900</w:t>
            </w:r>
          </w:p>
        </w:tc>
        <w:tc>
          <w:tcPr>
            <w:tcW w:w="992" w:type="dxa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2 186, 84324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1 440, 37080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1 327, 09300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1 327, 09300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682898" w:rsidRDefault="00523036" w:rsidP="00523036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6 981, 68904</w:t>
            </w:r>
          </w:p>
        </w:tc>
      </w:tr>
    </w:tbl>
    <w:p w:rsidR="00CE2359" w:rsidRPr="00682898" w:rsidRDefault="00CE2359" w:rsidP="00CE2359">
      <w:pPr>
        <w:pStyle w:val="a4"/>
        <w:spacing w:after="0" w:line="240" w:lineRule="auto"/>
        <w:ind w:left="709"/>
        <w:jc w:val="right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682898">
        <w:rPr>
          <w:rFonts w:ascii="Arial" w:eastAsia="SimSun" w:hAnsi="Arial" w:cs="Arial"/>
          <w:bCs/>
          <w:color w:val="000000" w:themeColor="text1"/>
          <w:sz w:val="24"/>
          <w:szCs w:val="24"/>
        </w:rPr>
        <w:t>»;</w:t>
      </w:r>
    </w:p>
    <w:p w:rsidR="00801D8F" w:rsidRPr="00682898" w:rsidRDefault="00801D8F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 xml:space="preserve">подраздел 5.3 раздела 5 «Методика </w:t>
      </w:r>
      <w:proofErr w:type="gramStart"/>
      <w:r w:rsidRPr="00682898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682898">
        <w:rPr>
          <w:rFonts w:ascii="Arial" w:hAnsi="Arial" w:cs="Arial"/>
          <w:sz w:val="24"/>
          <w:szCs w:val="24"/>
        </w:rPr>
        <w:t xml:space="preserve"> программы» </w:t>
      </w:r>
      <w:r w:rsidR="002E713E" w:rsidRPr="00682898">
        <w:rPr>
          <w:rFonts w:ascii="Arial" w:hAnsi="Arial" w:cs="Arial"/>
          <w:sz w:val="24"/>
          <w:szCs w:val="24"/>
        </w:rPr>
        <w:t xml:space="preserve">тестовой части </w:t>
      </w:r>
      <w:r w:rsidRPr="00682898">
        <w:rPr>
          <w:rFonts w:ascii="Arial" w:hAnsi="Arial" w:cs="Arial"/>
          <w:sz w:val="24"/>
          <w:szCs w:val="24"/>
        </w:rPr>
        <w:t xml:space="preserve">Муниципальной программы изложить в редакции согласно </w:t>
      </w:r>
      <w:r w:rsidRPr="00682898">
        <w:rPr>
          <w:rFonts w:ascii="Arial" w:eastAsia="SimSun" w:hAnsi="Arial" w:cs="Arial"/>
          <w:bCs/>
          <w:sz w:val="24"/>
          <w:szCs w:val="24"/>
        </w:rPr>
        <w:t>приложению 1 к настоящему постановлению;</w:t>
      </w:r>
    </w:p>
    <w:p w:rsidR="003C0927" w:rsidRPr="00682898" w:rsidRDefault="00801D8F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lastRenderedPageBreak/>
        <w:t>приложения</w:t>
      </w:r>
      <w:r w:rsidR="003C0927" w:rsidRPr="00682898">
        <w:rPr>
          <w:rFonts w:ascii="Arial" w:hAnsi="Arial" w:cs="Arial"/>
          <w:sz w:val="24"/>
          <w:szCs w:val="24"/>
        </w:rPr>
        <w:t xml:space="preserve"> 1</w:t>
      </w:r>
      <w:r w:rsidRPr="00682898">
        <w:rPr>
          <w:rFonts w:ascii="Arial" w:hAnsi="Arial" w:cs="Arial"/>
          <w:sz w:val="24"/>
          <w:szCs w:val="24"/>
        </w:rPr>
        <w:t>,2</w:t>
      </w:r>
      <w:r w:rsidR="00F00229" w:rsidRPr="00682898">
        <w:rPr>
          <w:rFonts w:ascii="Arial" w:hAnsi="Arial" w:cs="Arial"/>
          <w:sz w:val="24"/>
          <w:szCs w:val="24"/>
        </w:rPr>
        <w:t>,3</w:t>
      </w:r>
      <w:r w:rsidR="001F4543" w:rsidRPr="00682898">
        <w:rPr>
          <w:rFonts w:ascii="Arial" w:hAnsi="Arial" w:cs="Arial"/>
          <w:sz w:val="24"/>
          <w:szCs w:val="24"/>
        </w:rPr>
        <w:t xml:space="preserve"> </w:t>
      </w:r>
      <w:r w:rsidR="003C0927" w:rsidRPr="00682898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Pr="00682898">
        <w:rPr>
          <w:rFonts w:ascii="Arial" w:hAnsi="Arial" w:cs="Arial"/>
          <w:sz w:val="24"/>
          <w:szCs w:val="24"/>
        </w:rPr>
        <w:t>ции согласно приложениям</w:t>
      </w:r>
      <w:r w:rsidR="004141D3" w:rsidRPr="00682898">
        <w:rPr>
          <w:rFonts w:ascii="Arial" w:hAnsi="Arial" w:cs="Arial"/>
          <w:sz w:val="24"/>
          <w:szCs w:val="24"/>
        </w:rPr>
        <w:t xml:space="preserve"> </w:t>
      </w:r>
      <w:r w:rsidRPr="00682898">
        <w:rPr>
          <w:rFonts w:ascii="Arial" w:hAnsi="Arial" w:cs="Arial"/>
          <w:sz w:val="24"/>
          <w:szCs w:val="24"/>
        </w:rPr>
        <w:t>2,3</w:t>
      </w:r>
      <w:r w:rsidR="00F00229" w:rsidRPr="00682898">
        <w:rPr>
          <w:rFonts w:ascii="Arial" w:hAnsi="Arial" w:cs="Arial"/>
          <w:sz w:val="24"/>
          <w:szCs w:val="24"/>
        </w:rPr>
        <w:t>,4</w:t>
      </w:r>
      <w:r w:rsidRPr="00682898">
        <w:rPr>
          <w:rFonts w:ascii="Arial" w:hAnsi="Arial" w:cs="Arial"/>
          <w:sz w:val="24"/>
          <w:szCs w:val="24"/>
        </w:rPr>
        <w:t xml:space="preserve"> соответственно</w:t>
      </w:r>
      <w:r w:rsidR="004141D3" w:rsidRPr="00682898">
        <w:rPr>
          <w:rFonts w:ascii="Arial" w:hAnsi="Arial" w:cs="Arial"/>
          <w:sz w:val="24"/>
          <w:szCs w:val="24"/>
        </w:rPr>
        <w:t xml:space="preserve"> </w:t>
      </w:r>
      <w:r w:rsidR="003C0927" w:rsidRPr="00682898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682898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2898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682898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682898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682898">
        <w:rPr>
          <w:rFonts w:ascii="Arial" w:hAnsi="Arial" w:cs="Arial"/>
          <w:sz w:val="24"/>
          <w:szCs w:val="24"/>
        </w:rPr>
        <w:t>на</w:t>
      </w:r>
      <w:r w:rsidR="00FC420B" w:rsidRPr="00682898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682898">
        <w:rPr>
          <w:rFonts w:ascii="Arial" w:hAnsi="Arial" w:cs="Arial"/>
          <w:sz w:val="24"/>
          <w:szCs w:val="24"/>
        </w:rPr>
        <w:t xml:space="preserve"> </w:t>
      </w:r>
      <w:r w:rsidR="00DD79A0" w:rsidRPr="00682898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682898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682898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682898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682898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682898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82898">
        <w:rPr>
          <w:rFonts w:ascii="Arial" w:hAnsi="Arial" w:cs="Arial"/>
          <w:sz w:val="24"/>
          <w:szCs w:val="24"/>
        </w:rPr>
        <w:t>3</w:t>
      </w:r>
      <w:r w:rsidR="00DD79A0" w:rsidRPr="00682898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682898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682898">
        <w:rPr>
          <w:rFonts w:ascii="Arial" w:hAnsi="Arial" w:cs="Arial"/>
          <w:sz w:val="24"/>
          <w:szCs w:val="24"/>
        </w:rPr>
        <w:t>.</w:t>
      </w:r>
    </w:p>
    <w:p w:rsidR="00394C91" w:rsidRPr="00682898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682898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682898" w:rsidRDefault="0066056D" w:rsidP="00EF0571">
      <w:pPr>
        <w:widowControl w:val="0"/>
        <w:rPr>
          <w:rFonts w:ascii="Arial" w:hAnsi="Arial" w:cs="Arial"/>
        </w:rPr>
      </w:pPr>
      <w:r w:rsidRPr="00682898">
        <w:rPr>
          <w:rFonts w:ascii="Arial" w:hAnsi="Arial" w:cs="Arial"/>
        </w:rPr>
        <w:t xml:space="preserve">Глава </w:t>
      </w:r>
      <w:r w:rsidR="008C12DA" w:rsidRPr="00682898">
        <w:rPr>
          <w:rFonts w:ascii="Arial" w:hAnsi="Arial" w:cs="Arial"/>
        </w:rPr>
        <w:t>Одинцовского городс</w:t>
      </w:r>
      <w:r w:rsidRPr="00682898">
        <w:rPr>
          <w:rFonts w:ascii="Arial" w:hAnsi="Arial" w:cs="Arial"/>
        </w:rPr>
        <w:t>кого округа</w:t>
      </w:r>
      <w:r w:rsidRPr="00682898">
        <w:rPr>
          <w:rFonts w:ascii="Arial" w:hAnsi="Arial" w:cs="Arial"/>
        </w:rPr>
        <w:tab/>
      </w:r>
      <w:r w:rsidRPr="00682898">
        <w:rPr>
          <w:rFonts w:ascii="Arial" w:hAnsi="Arial" w:cs="Arial"/>
        </w:rPr>
        <w:tab/>
      </w:r>
      <w:r w:rsidRPr="00682898">
        <w:rPr>
          <w:rFonts w:ascii="Arial" w:hAnsi="Arial" w:cs="Arial"/>
        </w:rPr>
        <w:tab/>
      </w:r>
      <w:r w:rsidRPr="00682898">
        <w:rPr>
          <w:rFonts w:ascii="Arial" w:hAnsi="Arial" w:cs="Arial"/>
        </w:rPr>
        <w:tab/>
      </w:r>
      <w:r w:rsidRPr="00682898">
        <w:rPr>
          <w:rFonts w:ascii="Arial" w:hAnsi="Arial" w:cs="Arial"/>
        </w:rPr>
        <w:tab/>
        <w:t xml:space="preserve">           А.Р</w:t>
      </w:r>
      <w:r w:rsidR="008C12DA" w:rsidRPr="00682898">
        <w:rPr>
          <w:rFonts w:ascii="Arial" w:hAnsi="Arial" w:cs="Arial"/>
        </w:rPr>
        <w:t xml:space="preserve">. </w:t>
      </w:r>
      <w:r w:rsidRPr="00682898">
        <w:rPr>
          <w:rFonts w:ascii="Arial" w:hAnsi="Arial" w:cs="Arial"/>
        </w:rPr>
        <w:t>Иванов</w:t>
      </w:r>
    </w:p>
    <w:p w:rsidR="00CE2359" w:rsidRDefault="00CE2359" w:rsidP="00EF0571">
      <w:pPr>
        <w:widowControl w:val="0"/>
        <w:rPr>
          <w:rFonts w:ascii="Arial" w:hAnsi="Arial" w:cs="Arial"/>
        </w:rPr>
      </w:pPr>
    </w:p>
    <w:p w:rsidR="00682898" w:rsidRDefault="00682898" w:rsidP="00EF0571">
      <w:pPr>
        <w:widowControl w:val="0"/>
        <w:rPr>
          <w:rFonts w:ascii="Arial" w:hAnsi="Arial" w:cs="Arial"/>
        </w:rPr>
      </w:pPr>
    </w:p>
    <w:p w:rsidR="00682898" w:rsidRPr="00682898" w:rsidRDefault="00682898" w:rsidP="00682898">
      <w:pPr>
        <w:jc w:val="right"/>
        <w:rPr>
          <w:rFonts w:ascii="Arial" w:eastAsia="Calibri" w:hAnsi="Arial" w:cs="Arial"/>
          <w:lang w:eastAsia="en-US"/>
        </w:rPr>
      </w:pPr>
      <w:r w:rsidRPr="00682898">
        <w:rPr>
          <w:rFonts w:ascii="Arial" w:eastAsia="Calibri" w:hAnsi="Arial" w:cs="Arial"/>
          <w:lang w:eastAsia="en-US"/>
        </w:rPr>
        <w:tab/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  <w:color w:val="000000"/>
        </w:rPr>
      </w:pPr>
      <w:r w:rsidRPr="00682898">
        <w:rPr>
          <w:rFonts w:ascii="Arial" w:hAnsi="Arial" w:cs="Arial"/>
          <w:bCs/>
          <w:color w:val="000000"/>
        </w:rPr>
        <w:t xml:space="preserve">                      Приложение 1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  <w:color w:val="000000"/>
        </w:rPr>
      </w:pPr>
      <w:r w:rsidRPr="00682898">
        <w:rPr>
          <w:rFonts w:ascii="Arial" w:hAnsi="Arial" w:cs="Arial"/>
          <w:bCs/>
          <w:color w:val="000000"/>
        </w:rPr>
        <w:t xml:space="preserve">к постановлению Администрации 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  <w:color w:val="000000"/>
        </w:rPr>
      </w:pPr>
      <w:r w:rsidRPr="00682898">
        <w:rPr>
          <w:rFonts w:ascii="Arial" w:hAnsi="Arial" w:cs="Arial"/>
          <w:bCs/>
          <w:color w:val="000000"/>
        </w:rPr>
        <w:t xml:space="preserve">Одинцовского городского округа 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bCs/>
          <w:color w:val="000000"/>
        </w:rPr>
      </w:pPr>
      <w:r w:rsidRPr="00682898">
        <w:rPr>
          <w:rFonts w:ascii="Arial" w:hAnsi="Arial" w:cs="Arial"/>
          <w:bCs/>
          <w:color w:val="000000"/>
        </w:rPr>
        <w:t xml:space="preserve"> от «06» мая 2022 №</w:t>
      </w:r>
      <w:r>
        <w:rPr>
          <w:rFonts w:ascii="Arial" w:hAnsi="Arial" w:cs="Arial"/>
          <w:bCs/>
          <w:color w:val="000000"/>
        </w:rPr>
        <w:t xml:space="preserve"> </w:t>
      </w:r>
      <w:r w:rsidRPr="00682898">
        <w:rPr>
          <w:rFonts w:ascii="Arial" w:hAnsi="Arial" w:cs="Arial"/>
          <w:bCs/>
          <w:color w:val="000000"/>
        </w:rPr>
        <w:t>1865</w:t>
      </w:r>
    </w:p>
    <w:p w:rsidR="00682898" w:rsidRPr="00682898" w:rsidRDefault="00682898" w:rsidP="00682898">
      <w:pPr>
        <w:jc w:val="right"/>
        <w:rPr>
          <w:rFonts w:ascii="Arial" w:eastAsia="Calibri" w:hAnsi="Arial" w:cs="Arial"/>
          <w:color w:val="000000"/>
          <w:lang w:eastAsia="en-US"/>
        </w:rPr>
      </w:pP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bCs/>
          <w:color w:val="000000"/>
          <w:lang w:eastAsia="en-US"/>
        </w:rPr>
        <w:t>«5.3. Подпрограмма «Создание условий для обеспечения качественными коммунальными услугами»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Показатель 3.1. «Удельный вес потерь </w:t>
      </w:r>
      <w:proofErr w:type="spellStart"/>
      <w:r w:rsidRPr="00682898">
        <w:rPr>
          <w:rFonts w:ascii="Arial" w:eastAsia="Calibri" w:hAnsi="Arial" w:cs="Arial"/>
          <w:i/>
          <w:color w:val="000000"/>
          <w:lang w:eastAsia="en-US"/>
        </w:rPr>
        <w:t>теплоэнергии</w:t>
      </w:r>
      <w:proofErr w:type="spellEnd"/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 в общем количестве поданного в сеть тепла»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процент.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Значение показателя рассчитывается как отношение показателей «Потери тепловой энергии за отчетный год, Гкал» и «Произведено тепловой энергии за отчетный год, </w:t>
      </w:r>
      <w:proofErr w:type="spellStart"/>
      <w:r w:rsidRPr="00682898">
        <w:rPr>
          <w:rFonts w:ascii="Arial" w:eastAsia="Calibri" w:hAnsi="Arial" w:cs="Arial"/>
          <w:color w:val="000000"/>
        </w:rPr>
        <w:t>ГКал</w:t>
      </w:r>
      <w:proofErr w:type="spellEnd"/>
      <w:r w:rsidRPr="00682898">
        <w:rPr>
          <w:rFonts w:ascii="Arial" w:eastAsia="Calibri" w:hAnsi="Arial" w:cs="Arial"/>
          <w:color w:val="000000"/>
        </w:rPr>
        <w:t>», умноженное на 100.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682898">
        <w:rPr>
          <w:rFonts w:ascii="Arial" w:eastAsia="Calibri" w:hAnsi="Arial" w:cs="Arial"/>
          <w:color w:val="000000"/>
        </w:rPr>
        <w:t>теплоэнергией</w:t>
      </w:r>
      <w:proofErr w:type="spellEnd"/>
      <w:r w:rsidRPr="00682898">
        <w:rPr>
          <w:rFonts w:ascii="Arial" w:eastAsia="Calibri" w:hAnsi="Arial" w:cs="Arial"/>
          <w:color w:val="000000"/>
        </w:rPr>
        <w:t>», утвержденная приказом Росстата от 11.08.2009 №168.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>Показатель 3.2. «Удельный расход топлива на единицу произведенного тепла»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 xml:space="preserve">Единица измерения:  </w:t>
      </w:r>
      <w:proofErr w:type="spellStart"/>
      <w:r w:rsidRPr="00682898">
        <w:rPr>
          <w:rFonts w:ascii="Arial" w:eastAsia="Calibri" w:hAnsi="Arial" w:cs="Arial"/>
          <w:color w:val="000000"/>
          <w:lang w:eastAsia="en-US"/>
        </w:rPr>
        <w:t>кг</w:t>
      </w:r>
      <w:proofErr w:type="gramStart"/>
      <w:r w:rsidRPr="00682898">
        <w:rPr>
          <w:rFonts w:ascii="Arial" w:eastAsia="Calibri" w:hAnsi="Arial" w:cs="Arial"/>
          <w:color w:val="000000"/>
          <w:lang w:eastAsia="en-US"/>
        </w:rPr>
        <w:t>.у</w:t>
      </w:r>
      <w:proofErr w:type="gramEnd"/>
      <w:r w:rsidRPr="00682898">
        <w:rPr>
          <w:rFonts w:ascii="Arial" w:eastAsia="Calibri" w:hAnsi="Arial" w:cs="Arial"/>
          <w:color w:val="000000"/>
          <w:lang w:eastAsia="en-US"/>
        </w:rPr>
        <w:t>.т</w:t>
      </w:r>
      <w:proofErr w:type="spellEnd"/>
      <w:r w:rsidRPr="00682898">
        <w:rPr>
          <w:rFonts w:ascii="Arial" w:eastAsia="Calibri" w:hAnsi="Arial" w:cs="Arial"/>
          <w:color w:val="000000"/>
          <w:lang w:eastAsia="en-US"/>
        </w:rPr>
        <w:t>./Гкал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Значение показателя рассчитывается как отношение показателей «Объем потребления топлива на выработку тепловой энергии котельными на территории муниципального образования, </w:t>
      </w:r>
      <w:proofErr w:type="spellStart"/>
      <w:r w:rsidRPr="00682898">
        <w:rPr>
          <w:rFonts w:ascii="Arial" w:eastAsia="Calibri" w:hAnsi="Arial" w:cs="Arial"/>
          <w:color w:val="000000"/>
        </w:rPr>
        <w:t>кг</w:t>
      </w:r>
      <w:proofErr w:type="gramStart"/>
      <w:r w:rsidRPr="00682898">
        <w:rPr>
          <w:rFonts w:ascii="Arial" w:eastAsia="Calibri" w:hAnsi="Arial" w:cs="Arial"/>
          <w:color w:val="000000"/>
        </w:rPr>
        <w:t>.у</w:t>
      </w:r>
      <w:proofErr w:type="gramEnd"/>
      <w:r w:rsidRPr="00682898">
        <w:rPr>
          <w:rFonts w:ascii="Arial" w:eastAsia="Calibri" w:hAnsi="Arial" w:cs="Arial"/>
          <w:color w:val="000000"/>
        </w:rPr>
        <w:t>.т</w:t>
      </w:r>
      <w:proofErr w:type="spellEnd"/>
      <w:r w:rsidRPr="00682898">
        <w:rPr>
          <w:rFonts w:ascii="Arial" w:eastAsia="Calibri" w:hAnsi="Arial" w:cs="Arial"/>
          <w:color w:val="000000"/>
        </w:rPr>
        <w:t xml:space="preserve">» и «Объем выработки тепловой энергии котельными на территории муниципального образования, </w:t>
      </w:r>
      <w:proofErr w:type="spellStart"/>
      <w:r w:rsidRPr="00682898">
        <w:rPr>
          <w:rFonts w:ascii="Arial" w:eastAsia="Calibri" w:hAnsi="Arial" w:cs="Arial"/>
          <w:color w:val="000000"/>
        </w:rPr>
        <w:t>ГКал</w:t>
      </w:r>
      <w:proofErr w:type="spellEnd"/>
      <w:r w:rsidRPr="00682898">
        <w:rPr>
          <w:rFonts w:ascii="Arial" w:eastAsia="Calibri" w:hAnsi="Arial" w:cs="Arial"/>
          <w:color w:val="000000"/>
        </w:rPr>
        <w:t>».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682898">
        <w:rPr>
          <w:rFonts w:ascii="Arial" w:eastAsia="Calibri" w:hAnsi="Arial" w:cs="Arial"/>
          <w:color w:val="000000"/>
        </w:rPr>
        <w:t>теплоэнергией</w:t>
      </w:r>
      <w:proofErr w:type="spellEnd"/>
      <w:r w:rsidRPr="00682898">
        <w:rPr>
          <w:rFonts w:ascii="Arial" w:eastAsia="Calibri" w:hAnsi="Arial" w:cs="Arial"/>
          <w:color w:val="000000"/>
        </w:rPr>
        <w:t>», утвержденная приказом Росстата от 11.08.2009 №168.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Показатель 3.3. «Количество построенных и реконструированных (модернизированных), капитально отремонтированных котельных, в </w:t>
      </w:r>
      <w:proofErr w:type="spellStart"/>
      <w:r w:rsidRPr="00682898">
        <w:rPr>
          <w:rFonts w:ascii="Arial" w:eastAsia="Calibri" w:hAnsi="Arial" w:cs="Arial"/>
          <w:i/>
          <w:color w:val="000000"/>
          <w:lang w:eastAsia="en-US"/>
        </w:rPr>
        <w:t>т.ч</w:t>
      </w:r>
      <w:proofErr w:type="spellEnd"/>
      <w:r w:rsidRPr="00682898">
        <w:rPr>
          <w:rFonts w:ascii="Arial" w:eastAsia="Calibri" w:hAnsi="Arial" w:cs="Arial"/>
          <w:i/>
          <w:color w:val="000000"/>
          <w:lang w:eastAsia="en-US"/>
        </w:rPr>
        <w:t>. переведенных на природный газ»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единицы.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Алгоритм определения значения показателя: количество котельных, введенных в эксплуатацию после завершения строительства и реконструкции (модернизации), капитально отремонтированных, в </w:t>
      </w:r>
      <w:proofErr w:type="spellStart"/>
      <w:r w:rsidRPr="00682898">
        <w:rPr>
          <w:rFonts w:ascii="Arial" w:eastAsia="Calibri" w:hAnsi="Arial" w:cs="Arial"/>
          <w:color w:val="000000"/>
        </w:rPr>
        <w:t>т.ч</w:t>
      </w:r>
      <w:proofErr w:type="spellEnd"/>
      <w:r w:rsidRPr="00682898">
        <w:rPr>
          <w:rFonts w:ascii="Arial" w:eastAsia="Calibri" w:hAnsi="Arial" w:cs="Arial"/>
          <w:color w:val="000000"/>
        </w:rPr>
        <w:t>. переведенных на природный газ, в отчетном году.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>Показатель 3.4. «Количество построенных станций очистки питьевой воды»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единицы.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 xml:space="preserve">Алгоритм определения значения показателя: количество станций очистки воды, введенных в эксплуатацию после завершения строительства и реконструкции </w:t>
      </w:r>
      <w:r w:rsidRPr="00682898">
        <w:rPr>
          <w:rFonts w:ascii="Arial" w:eastAsia="Calibri" w:hAnsi="Arial" w:cs="Arial"/>
          <w:color w:val="000000"/>
          <w:lang w:eastAsia="en-US"/>
        </w:rPr>
        <w:lastRenderedPageBreak/>
        <w:t>(модернизации), капитально отремонтированных, за отчетный период.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>Показатель 3.5. «Уровень готовности объектов жилищно-коммунального хозяйства к осенне-зимнему периоду»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процент.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Значение показателя рассчитывается как среднее арифметическое уровней готовности жилищного фонда, котельных, тепловых, водопроводных, канализационных сетей специализированных предприятий жилищно-коммунального комплекса.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Источник данных: форма федерального государственного статистического наблюдения №1-ЖКХ (зима) «Сведения о подготовке жилищно-коммунального хозяйства к работе в зимних условиях», утвержденная постановлением Федеральной службы государственной статистики от 27.02.2006 №7.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</w:rPr>
      </w:pPr>
      <w:r w:rsidRPr="00682898">
        <w:rPr>
          <w:rFonts w:ascii="Arial" w:eastAsia="Calibri" w:hAnsi="Arial" w:cs="Arial"/>
          <w:i/>
          <w:color w:val="000000"/>
        </w:rPr>
        <w:t>Показатель 3.6. «Задолженность за потребленные топливно-энергетические ресурсы (газ и электроэнергия) на 1 тысячу населения»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 xml:space="preserve">Единица измерения: </w:t>
      </w:r>
      <w:proofErr w:type="spellStart"/>
      <w:r w:rsidRPr="00682898">
        <w:rPr>
          <w:rFonts w:ascii="Arial" w:eastAsia="Calibri" w:hAnsi="Arial" w:cs="Arial"/>
          <w:color w:val="000000"/>
          <w:lang w:eastAsia="en-US"/>
        </w:rPr>
        <w:t>тыс</w:t>
      </w:r>
      <w:proofErr w:type="gramStart"/>
      <w:r w:rsidRPr="00682898">
        <w:rPr>
          <w:rFonts w:ascii="Arial" w:eastAsia="Calibri" w:hAnsi="Arial" w:cs="Arial"/>
          <w:color w:val="000000"/>
          <w:lang w:eastAsia="en-US"/>
        </w:rPr>
        <w:t>.р</w:t>
      </w:r>
      <w:proofErr w:type="gramEnd"/>
      <w:r w:rsidRPr="00682898">
        <w:rPr>
          <w:rFonts w:ascii="Arial" w:eastAsia="Calibri" w:hAnsi="Arial" w:cs="Arial"/>
          <w:color w:val="000000"/>
          <w:lang w:eastAsia="en-US"/>
        </w:rPr>
        <w:t>уб</w:t>
      </w:r>
      <w:proofErr w:type="spellEnd"/>
      <w:r w:rsidRPr="00682898">
        <w:rPr>
          <w:rFonts w:ascii="Arial" w:eastAsia="Calibri" w:hAnsi="Arial" w:cs="Arial"/>
          <w:color w:val="000000"/>
          <w:lang w:eastAsia="en-US"/>
        </w:rPr>
        <w:t>./</w:t>
      </w:r>
      <w:proofErr w:type="spellStart"/>
      <w:r w:rsidRPr="00682898">
        <w:rPr>
          <w:rFonts w:ascii="Arial" w:eastAsia="Calibri" w:hAnsi="Arial" w:cs="Arial"/>
          <w:color w:val="000000"/>
          <w:lang w:eastAsia="en-US"/>
        </w:rPr>
        <w:t>тыс.чел</w:t>
      </w:r>
      <w:proofErr w:type="spellEnd"/>
      <w:r w:rsidRPr="00682898">
        <w:rPr>
          <w:rFonts w:ascii="Arial" w:eastAsia="Calibri" w:hAnsi="Arial" w:cs="Arial"/>
          <w:color w:val="000000"/>
          <w:lang w:eastAsia="en-US"/>
        </w:rPr>
        <w:t>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Алгоритм определения  значения целевого показателя: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отношение задолженности за потребленные топливно-энергетические ресурсы (газ и электроэнергия) к численности всего населения, зарегистрированного в муниципальном образовании, в тысячах человек.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</w:rPr>
      </w:pPr>
      <w:r w:rsidRPr="00682898">
        <w:rPr>
          <w:rFonts w:ascii="Arial" w:eastAsia="Calibri" w:hAnsi="Arial" w:cs="Arial"/>
          <w:i/>
          <w:color w:val="000000"/>
        </w:rPr>
        <w:t>Показатель 3.7. «Количество канализационных коллекторов, приведенных в надлежащее состояние»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10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единицы.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Алгоритм определения значения показателя: количество канализационных коллекторов, введенных в эксплуатацию после реконструкции (модернизации), капитально отремонтированных в отчетном году.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Показатель 3.8. «Количество очистных сооружений, приведенных в </w:t>
      </w:r>
      <w:proofErr w:type="gramStart"/>
      <w:r w:rsidRPr="00682898">
        <w:rPr>
          <w:rFonts w:ascii="Arial" w:eastAsia="Calibri" w:hAnsi="Arial" w:cs="Arial"/>
          <w:i/>
          <w:color w:val="000000"/>
          <w:lang w:eastAsia="en-US"/>
        </w:rPr>
        <w:t>надлежащие</w:t>
      </w:r>
      <w:proofErr w:type="gramEnd"/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 состояние и запущенных в работу»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единицы.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682898">
        <w:rPr>
          <w:rFonts w:ascii="Arial" w:eastAsia="Calibri" w:hAnsi="Arial" w:cs="Arial"/>
          <w:color w:val="000000"/>
        </w:rPr>
        <w:t>Алгоритм определения значения показателя: количество очистных сооружений, приведенных в надлежащие состояние и запущенных в работу в отчетном году.</w:t>
      </w:r>
      <w:proofErr w:type="gramEnd"/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>Показатель 3.9. «Количество созданных и  восстановленных объектов коммунальной инфраструктуры»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Значение показателя 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Государственная автоматизированная система «Управление».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>Показатель 3.10. «Количество созданных и восстановленных объектов    социальной и инженерной инфраструктуры на территории военных городков Московской области»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единица.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  <w:lang w:eastAsia="en-US"/>
        </w:rPr>
        <w:t>Определяется на основании данных о построенных, реконструированных и отремонтированных объектов социальной и инженерной инфраструктуры на территории ОМСУ в военных городках.</w:t>
      </w:r>
      <w:r w:rsidRPr="00682898">
        <w:rPr>
          <w:rFonts w:ascii="Arial" w:hAnsi="Arial" w:cs="Arial"/>
          <w:color w:val="000000"/>
        </w:rPr>
        <w:t xml:space="preserve"> 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 xml:space="preserve">Источник данных: </w:t>
      </w:r>
      <w:r w:rsidRPr="00682898">
        <w:rPr>
          <w:rFonts w:ascii="Arial" w:hAnsi="Arial" w:cs="Arial"/>
          <w:color w:val="000000"/>
          <w:lang w:eastAsia="en-US"/>
        </w:rPr>
        <w:t>Государственная автоматизированная система «Управление»</w:t>
      </w:r>
      <w:r w:rsidRPr="00682898">
        <w:rPr>
          <w:rFonts w:ascii="Arial" w:eastAsia="Calibri" w:hAnsi="Arial" w:cs="Arial"/>
          <w:color w:val="000000"/>
          <w:lang w:eastAsia="en-US"/>
        </w:rPr>
        <w:t>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lastRenderedPageBreak/>
        <w:t>Показатель 3.11. «Количество созданных и отремонтированных объектов коммунальной инфраструктуры»</w:t>
      </w:r>
    </w:p>
    <w:p w:rsidR="00682898" w:rsidRPr="00682898" w:rsidRDefault="00682898" w:rsidP="0068289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единица.</w:t>
      </w:r>
    </w:p>
    <w:p w:rsidR="00682898" w:rsidRPr="00682898" w:rsidRDefault="00682898" w:rsidP="0068289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Значение показателя определяется количеством созданных и отремонтированных объектов коммунальной инфраструктуры за отчетный период.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/>
          <w:iCs/>
          <w:color w:val="000000"/>
          <w:lang w:eastAsia="en-US"/>
        </w:rPr>
        <w:t>Показатель 3.12. «Доля актуальных схем теплоснабжения, водоснабжения и водоотведения, программ комплексного развития систем коммунальной инфраструктуры»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Единица измерения: процент.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Алгоритм определения значения показателя: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Д = (</w:t>
      </w:r>
      <w:proofErr w:type="spellStart"/>
      <w:r w:rsidRPr="00682898">
        <w:rPr>
          <w:rFonts w:ascii="Arial" w:eastAsia="Calibri" w:hAnsi="Arial" w:cs="Arial"/>
          <w:iCs/>
          <w:color w:val="000000"/>
          <w:u w:val="single"/>
          <w:lang w:eastAsia="en-US"/>
        </w:rPr>
        <w:t>АСТС+АВСиВО+АПКР</w:t>
      </w:r>
      <w:proofErr w:type="spellEnd"/>
      <w:r w:rsidRPr="00682898">
        <w:rPr>
          <w:rFonts w:ascii="Arial" w:eastAsia="Calibri" w:hAnsi="Arial" w:cs="Arial"/>
          <w:iCs/>
          <w:color w:val="000000"/>
          <w:lang w:eastAsia="en-US"/>
        </w:rPr>
        <w:t>)×100%, где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 xml:space="preserve">                           3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АСТС - актуализированная в установленный срок схема теплоснабжения;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proofErr w:type="spellStart"/>
      <w:r w:rsidRPr="00682898">
        <w:rPr>
          <w:rFonts w:ascii="Arial" w:eastAsia="Calibri" w:hAnsi="Arial" w:cs="Arial"/>
          <w:iCs/>
          <w:color w:val="000000"/>
          <w:lang w:eastAsia="en-US"/>
        </w:rPr>
        <w:t>АВСиВО</w:t>
      </w:r>
      <w:proofErr w:type="spellEnd"/>
      <w:r w:rsidRPr="00682898">
        <w:rPr>
          <w:rFonts w:ascii="Arial" w:eastAsia="Calibri" w:hAnsi="Arial" w:cs="Arial"/>
          <w:iCs/>
          <w:color w:val="000000"/>
          <w:lang w:eastAsia="en-US"/>
        </w:rPr>
        <w:t xml:space="preserve"> - актуализированная схема водоснабжения и водоотведения;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 xml:space="preserve">АПКР - актуализированная программа </w:t>
      </w:r>
      <w:proofErr w:type="gramStart"/>
      <w:r w:rsidRPr="00682898">
        <w:rPr>
          <w:rFonts w:ascii="Arial" w:eastAsia="Calibri" w:hAnsi="Arial" w:cs="Arial"/>
          <w:iCs/>
          <w:color w:val="000000"/>
          <w:lang w:eastAsia="en-US"/>
        </w:rPr>
        <w:t>комплексного</w:t>
      </w:r>
      <w:proofErr w:type="gramEnd"/>
      <w:r w:rsidRPr="00682898">
        <w:rPr>
          <w:rFonts w:ascii="Arial" w:eastAsia="Calibri" w:hAnsi="Arial" w:cs="Arial"/>
          <w:iCs/>
          <w:color w:val="000000"/>
          <w:lang w:eastAsia="en-US"/>
        </w:rPr>
        <w:t xml:space="preserve"> развития инженерной инфраструктуры.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682898">
        <w:rPr>
          <w:rFonts w:ascii="Arial" w:eastAsia="Calibri" w:hAnsi="Arial" w:cs="Arial"/>
          <w:iCs/>
          <w:color w:val="000000"/>
          <w:lang w:eastAsia="en-US"/>
        </w:rPr>
        <w:t>Источник данных: Государственная автоматизированная система «Управление».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Показатель 3.13. </w:t>
      </w:r>
      <w:proofErr w:type="gramStart"/>
      <w:r w:rsidRPr="00682898">
        <w:rPr>
          <w:rFonts w:ascii="Arial" w:eastAsia="Calibri" w:hAnsi="Arial" w:cs="Arial"/>
          <w:i/>
          <w:color w:val="000000"/>
          <w:lang w:eastAsia="en-US"/>
        </w:rPr>
        <w:t>«Погашение просроченной задолженности управляющих организаций, поставщиков ресурсов (</w:t>
      </w:r>
      <w:proofErr w:type="spellStart"/>
      <w:r w:rsidRPr="00682898">
        <w:rPr>
          <w:rFonts w:ascii="Arial" w:eastAsia="Calibri" w:hAnsi="Arial" w:cs="Arial"/>
          <w:i/>
          <w:color w:val="000000"/>
          <w:lang w:eastAsia="en-US"/>
        </w:rPr>
        <w:t>ресурсоснабжающих</w:t>
      </w:r>
      <w:proofErr w:type="spellEnd"/>
      <w:r w:rsidRPr="00682898">
        <w:rPr>
          <w:rFonts w:ascii="Arial" w:eastAsia="Calibri" w:hAnsi="Arial" w:cs="Arial"/>
          <w:i/>
          <w:color w:val="000000"/>
          <w:lang w:eastAsia="en-US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</w:t>
      </w:r>
      <w:proofErr w:type="gramEnd"/>
      <w:r w:rsidRPr="00682898">
        <w:rPr>
          <w:rFonts w:ascii="Arial" w:eastAsia="Calibri" w:hAnsi="Arial" w:cs="Arial"/>
          <w:i/>
          <w:color w:val="000000"/>
          <w:lang w:eastAsia="en-US"/>
        </w:rPr>
        <w:t xml:space="preserve"> (</w:t>
      </w:r>
      <w:proofErr w:type="gramStart"/>
      <w:r w:rsidRPr="00682898">
        <w:rPr>
          <w:rFonts w:ascii="Arial" w:eastAsia="Calibri" w:hAnsi="Arial" w:cs="Arial"/>
          <w:i/>
          <w:color w:val="000000"/>
          <w:lang w:eastAsia="en-US"/>
        </w:rPr>
        <w:t>газ, электроэнергию, тепловую энергию и воду), признанной невозможной к взысканию»</w:t>
      </w:r>
      <w:proofErr w:type="gramEnd"/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Единица измерения: тыс. руб.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 xml:space="preserve">Алгоритм определения значения показателя: </w:t>
      </w:r>
      <w:proofErr w:type="gramStart"/>
      <w:r w:rsidRPr="00682898">
        <w:rPr>
          <w:rFonts w:ascii="Arial" w:eastAsia="Calibri" w:hAnsi="Arial" w:cs="Arial"/>
          <w:color w:val="000000"/>
          <w:lang w:eastAsia="en-US"/>
        </w:rPr>
        <w:t>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</w:r>
      <w:proofErr w:type="gramEnd"/>
    </w:p>
    <w:p w:rsidR="00682898" w:rsidRPr="00682898" w:rsidRDefault="00682898" w:rsidP="006828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i/>
          <w:color w:val="000000"/>
        </w:rPr>
      </w:pPr>
      <w:r w:rsidRPr="00682898">
        <w:rPr>
          <w:rFonts w:ascii="Arial" w:eastAsia="Calibri" w:hAnsi="Arial" w:cs="Arial"/>
          <w:i/>
          <w:color w:val="000000"/>
        </w:rPr>
        <w:t>Показатель 3.14. «Количество построенных систем ливневой канализации»</w:t>
      </w:r>
    </w:p>
    <w:p w:rsidR="00682898" w:rsidRPr="00682898" w:rsidRDefault="00682898" w:rsidP="00682898">
      <w:pPr>
        <w:ind w:left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 xml:space="preserve">Единица измерения – единица. 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Методика расчета: определяется на основании данных о количестве систем ливневых канализаций, построенных, на территории ОМСУ.</w:t>
      </w:r>
    </w:p>
    <w:p w:rsidR="00682898" w:rsidRPr="00682898" w:rsidRDefault="00682898" w:rsidP="00682898">
      <w:pPr>
        <w:ind w:firstLine="709"/>
        <w:jc w:val="both"/>
        <w:rPr>
          <w:rFonts w:ascii="Arial" w:eastAsia="Calibri" w:hAnsi="Arial" w:cs="Arial"/>
          <w:color w:val="000000"/>
        </w:rPr>
      </w:pPr>
      <w:r w:rsidRPr="00682898">
        <w:rPr>
          <w:rFonts w:ascii="Arial" w:eastAsia="Calibri" w:hAnsi="Arial" w:cs="Arial"/>
          <w:color w:val="000000"/>
        </w:rPr>
        <w:t>Источник данных: Государственная автоматизированная система «Управление»</w:t>
      </w:r>
      <w:proofErr w:type="gramStart"/>
      <w:r w:rsidRPr="00682898">
        <w:rPr>
          <w:rFonts w:ascii="Arial" w:eastAsia="Calibri" w:hAnsi="Arial" w:cs="Arial"/>
          <w:color w:val="000000"/>
        </w:rPr>
        <w:t>.»</w:t>
      </w:r>
      <w:proofErr w:type="gramEnd"/>
      <w:r w:rsidRPr="00682898">
        <w:rPr>
          <w:rFonts w:ascii="Arial" w:eastAsia="Calibri" w:hAnsi="Arial" w:cs="Arial"/>
          <w:color w:val="000000"/>
        </w:rPr>
        <w:t>.</w:t>
      </w:r>
    </w:p>
    <w:p w:rsidR="00682898" w:rsidRPr="00682898" w:rsidRDefault="00682898" w:rsidP="00682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898" w:rsidRPr="00682898" w:rsidRDefault="00682898" w:rsidP="006828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2898" w:rsidRPr="00682898" w:rsidRDefault="00682898" w:rsidP="00682898">
      <w:pPr>
        <w:jc w:val="both"/>
        <w:rPr>
          <w:rFonts w:ascii="Arial" w:eastAsia="Calibri" w:hAnsi="Arial" w:cs="Arial"/>
          <w:lang w:eastAsia="en-US"/>
        </w:rPr>
      </w:pPr>
      <w:r w:rsidRPr="00682898">
        <w:rPr>
          <w:rFonts w:ascii="Arial" w:eastAsia="Calibri" w:hAnsi="Arial" w:cs="Arial"/>
          <w:color w:val="000000"/>
          <w:lang w:eastAsia="en-US"/>
        </w:rPr>
        <w:t>Заместитель Главы А</w:t>
      </w:r>
      <w:r w:rsidRPr="00682898">
        <w:rPr>
          <w:rFonts w:ascii="Arial" w:eastAsia="Calibri" w:hAnsi="Arial" w:cs="Arial"/>
          <w:lang w:eastAsia="en-US"/>
        </w:rPr>
        <w:t>дминистрации</w:t>
      </w:r>
      <w:r w:rsidRPr="00682898">
        <w:rPr>
          <w:rFonts w:ascii="Arial" w:eastAsia="Calibri" w:hAnsi="Arial" w:cs="Arial"/>
          <w:lang w:eastAsia="en-US"/>
        </w:rPr>
        <w:tab/>
      </w:r>
      <w:r w:rsidRPr="00682898">
        <w:rPr>
          <w:rFonts w:ascii="Arial" w:eastAsia="Calibri" w:hAnsi="Arial" w:cs="Arial"/>
          <w:lang w:eastAsia="en-US"/>
        </w:rPr>
        <w:tab/>
      </w:r>
      <w:r w:rsidRPr="00682898">
        <w:rPr>
          <w:rFonts w:ascii="Arial" w:eastAsia="Calibri" w:hAnsi="Arial" w:cs="Arial"/>
          <w:lang w:eastAsia="en-US"/>
        </w:rPr>
        <w:tab/>
      </w:r>
      <w:r w:rsidRPr="00682898">
        <w:rPr>
          <w:rFonts w:ascii="Arial" w:eastAsia="Calibri" w:hAnsi="Arial" w:cs="Arial"/>
          <w:lang w:eastAsia="en-US"/>
        </w:rPr>
        <w:tab/>
        <w:t xml:space="preserve">             М.В. Коротаев</w:t>
      </w:r>
    </w:p>
    <w:p w:rsidR="00682898" w:rsidRDefault="00682898" w:rsidP="00EF0571">
      <w:pPr>
        <w:widowControl w:val="0"/>
        <w:rPr>
          <w:rFonts w:ascii="Arial" w:hAnsi="Arial" w:cs="Arial"/>
        </w:rPr>
      </w:pPr>
    </w:p>
    <w:p w:rsidR="00682898" w:rsidRDefault="00682898" w:rsidP="00EF0571">
      <w:pPr>
        <w:widowControl w:val="0"/>
        <w:rPr>
          <w:rFonts w:ascii="Arial" w:hAnsi="Arial" w:cs="Arial"/>
        </w:rPr>
        <w:sectPr w:rsidR="00682898" w:rsidSect="00682898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6"/>
        <w:gridCol w:w="86"/>
        <w:gridCol w:w="1747"/>
        <w:gridCol w:w="1118"/>
        <w:gridCol w:w="1588"/>
        <w:gridCol w:w="914"/>
        <w:gridCol w:w="914"/>
        <w:gridCol w:w="914"/>
        <w:gridCol w:w="914"/>
        <w:gridCol w:w="914"/>
        <w:gridCol w:w="914"/>
        <w:gridCol w:w="1464"/>
        <w:gridCol w:w="2633"/>
      </w:tblGrid>
      <w:tr w:rsidR="00682898" w:rsidRPr="00682898" w:rsidTr="00E3732B">
        <w:trPr>
          <w:trHeight w:val="420"/>
        </w:trPr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M339"/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Приложение 2 к постановлению</w:t>
            </w:r>
          </w:p>
        </w:tc>
      </w:tr>
      <w:tr w:rsidR="00682898" w:rsidRPr="00682898" w:rsidTr="00E3732B">
        <w:trPr>
          <w:trHeight w:val="111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Администрации Одинцовского</w:t>
            </w:r>
            <w:r w:rsidRPr="00682898">
              <w:rPr>
                <w:rFonts w:ascii="Arial" w:hAnsi="Arial" w:cs="Arial"/>
                <w:color w:val="000000"/>
              </w:rPr>
              <w:br/>
              <w:t xml:space="preserve">городского округа Московской области </w:t>
            </w:r>
            <w:r w:rsidRPr="00682898">
              <w:rPr>
                <w:rFonts w:ascii="Arial" w:hAnsi="Arial" w:cs="Arial"/>
                <w:color w:val="000000"/>
              </w:rPr>
              <w:br/>
              <w:t>от 06.05.2022 №</w:t>
            </w:r>
            <w:r w:rsidR="00B24532">
              <w:rPr>
                <w:rFonts w:ascii="Arial" w:hAnsi="Arial" w:cs="Arial"/>
                <w:color w:val="000000"/>
              </w:rPr>
              <w:t xml:space="preserve"> </w:t>
            </w:r>
            <w:r w:rsidRPr="00682898">
              <w:rPr>
                <w:rFonts w:ascii="Arial" w:hAnsi="Arial" w:cs="Arial"/>
                <w:color w:val="000000"/>
              </w:rPr>
              <w:t>1865</w:t>
            </w:r>
          </w:p>
        </w:tc>
      </w:tr>
      <w:tr w:rsidR="00682898" w:rsidRPr="00682898" w:rsidTr="00E3732B">
        <w:trPr>
          <w:trHeight w:val="36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"Приложение 1</w:t>
            </w:r>
          </w:p>
        </w:tc>
      </w:tr>
      <w:tr w:rsidR="00682898" w:rsidRPr="00682898" w:rsidTr="00E3732B">
        <w:trPr>
          <w:trHeight w:val="37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682898" w:rsidRPr="00682898" w:rsidTr="00E3732B">
        <w:trPr>
          <w:trHeight w:val="30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49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682898" w:rsidRPr="00682898" w:rsidTr="00E3732B">
        <w:trPr>
          <w:trHeight w:val="3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"Развитие инженерной инфраструктуры 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682898" w:rsidRPr="00682898" w:rsidTr="00E3732B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N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Всего (тыс. руб.)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8289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682898" w:rsidRPr="00682898" w:rsidTr="00E3732B">
        <w:trPr>
          <w:trHeight w:val="106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49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82898" w:rsidRPr="00682898" w:rsidTr="00E3732B">
        <w:trPr>
          <w:trHeight w:val="5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"Чистая вода"</w:t>
            </w:r>
          </w:p>
        </w:tc>
      </w:tr>
      <w:tr w:rsidR="00682898" w:rsidRPr="00682898" w:rsidTr="00E3732B">
        <w:trPr>
          <w:trHeight w:val="465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323 845,60920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31 233,93000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682898" w:rsidRPr="00682898" w:rsidTr="00E3732B">
        <w:trPr>
          <w:trHeight w:val="46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144 470,60920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25 337,72000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4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289 875,00002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3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110 500,00002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. Одинцово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Одинцовский г.о. 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232 000,00002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87 000,00002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, Одинцовский г.о.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57 875,00000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34 375,00000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02.02. Капитальный ремонт, приобретение, монтаж 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ввод в эксплуатацию объектов водоснабжения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45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14 170,60918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5 665,64107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169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13 860,76822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5 355,80011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89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1.3.2.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Поставка воды для водопроводных колонок общего пользования в с. Ершово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ТУ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Ершовское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21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5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02.05. Строительство и реконструкция (модернизац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ия) объектов питьевого водоснабжения за счет средств местного бюджета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2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Рост доли населения, обеспеченного доброкачественной питьевой водой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F5  «Чистая вода»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607 396,24000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466 686,94000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75 532,46000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267 292,80000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113 956,38000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73 269,80000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11 858,60000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226 147,06000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173 607,74000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28 098,06000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607 396,24000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466 686,94000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75 532,46000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267 292,80000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113 956,38000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73 269,80000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11 858,60000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226 147,06000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173 607,74000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28 098,06000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1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ВЗУ-6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ВЗУ-7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120 891,72000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22 891,72000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56 940,00000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46 158,00000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10 782,00000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18 980,00000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15 386,00000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3 594,00000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44 971,72000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36 456,00000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8 515,72000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ВЗУ-8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120 891,72000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22 891,72000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56 940,00000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46 158,00000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10 782,00000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18 980,00000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15 386,00000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3 594,00000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44 971,72000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36 456,00000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8 515,72000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2.1.5.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ВЗУ-9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2.1.6.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ВЗУ-10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2.1.7.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143 175,45000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127 886,94000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15 288,51000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67 435,50000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60 234,60000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7 200,90000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22 478,50000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20 078,20000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2 400,30000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53 261,45000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47 574,14000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5 687,31000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2.1.8.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ВЗУ-2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2.1.9.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ВНИИССОК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Лесной Городок,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157 260,51000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142 800,00000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14 460,51000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74 069,70000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67 258,80000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6 810,90000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24 689,90000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22 419,60000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2 270,30000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58 500,91000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53 121,60000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5 379,31000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2.1.10.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Реконструкция ВЗУ Ликино п. Жаворонковское,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Н.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В.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ПМС-4 п.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Часцовское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2.1.14.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Реконструкция ВЗУ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Аниково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г. Кубинка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3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"Чистая вода"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931 241,84920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67 681,80813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31 233,93000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473 686,94000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120 973,53000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5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376 042,80000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184 581,38000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76 394,80000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37 212,39000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370 617,66920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26 946,22813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25 337,72000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177 482,74000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48 185,34000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"Системы водоотведения"</w:t>
            </w:r>
          </w:p>
        </w:tc>
      </w:tr>
      <w:tr w:rsidR="00682898" w:rsidRPr="00682898" w:rsidTr="00E3732B">
        <w:trPr>
          <w:trHeight w:val="9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913 037,31909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384 089,42000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181 042,68909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365 311,53909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150 898,44000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83 668,73909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547 725,78000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97 373,95000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902 052,66909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181 042,68909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547 725,78000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97 373,95000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354 326,88909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83 668,73909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677 152,50973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167 705,21000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136 342,52973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6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422 725,78000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84 873,95000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254 426,72973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63 044,36000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51 468,57973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7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798,00000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172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1.2.3.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1.2.4.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-модульных очистных сооружений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Одинцовский г.о.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682898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новых блоков грубой и биологической очистки, нового блока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доочистки на очистных сооружениях, расположенных по адресу: п. ВНИИССОК, ул.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Липовая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, д.1-а (в том числе 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ю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23 845,00000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39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682898" w:rsidRPr="00682898" w:rsidTr="00E3732B">
        <w:trPr>
          <w:trHeight w:val="15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682898" w:rsidRPr="00682898" w:rsidTr="00E3732B">
        <w:trPr>
          <w:trHeight w:val="21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1.4.1.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Полушкино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198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1.4.2.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Кобяково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474 486,57180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194 701,71180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02.01. Капитальный ремонт канализационных коллекторов и канализационных насосных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станций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682898" w:rsidRPr="00682898" w:rsidTr="00E3732B">
        <w:trPr>
          <w:trHeight w:val="11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474 486,57180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194 701,71180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9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Проектирование и строительство напорного коллектора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Грибово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Осоргино</w:t>
            </w:r>
            <w:proofErr w:type="spellEnd"/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9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2.2.2.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убинка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  ТУ Кубинка </w:t>
            </w:r>
            <w:r w:rsidRPr="00682898">
              <w:rPr>
                <w:rFonts w:ascii="Arial" w:hAnsi="Arial" w:cs="Arial"/>
                <w:color w:val="000000"/>
              </w:rPr>
              <w:br/>
              <w:t>ТУ Никольское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9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1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6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напорного коллектора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465 123,78546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90 206,00049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36 334,56000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коммунального хозяйства                    ТУ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Увеличение доли сточных вод, очищенных до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10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279 784,86000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44 358,46000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21 818,20000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185 338,92546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45 847,54049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14 516,36000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04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Проектирование и реконструкция КНС пос.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Барвиха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11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14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3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2.2.6.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682898">
              <w:rPr>
                <w:rFonts w:ascii="Arial" w:hAnsi="Arial" w:cs="Arial"/>
                <w:color w:val="000000"/>
              </w:rPr>
              <w:br w:type="page"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196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G6  «Оздоровление Волги»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G6.01. </w:t>
            </w:r>
            <w:r w:rsidRPr="00682898">
              <w:rPr>
                <w:rFonts w:ascii="Arial" w:hAnsi="Arial" w:cs="Arial"/>
                <w:color w:val="000000"/>
              </w:rPr>
              <w:br/>
              <w:t>Сокращение доли загрязненных сточных вод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682898" w:rsidRPr="00682898" w:rsidTr="00E3732B">
        <w:trPr>
          <w:trHeight w:val="10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"Системы водоотведения"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1 387 523,89089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393 452,20634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506 488,43497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271 248,68958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96 334,56000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7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827 510,64000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318 269,05000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141 732,41000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59 318,20000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560 013,25089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160 261,22634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188 219,38497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129 516,27958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37 016,36000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3 672 180,8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8811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510 214,8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747 493,5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2903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534 134,3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6908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516 931,8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1 363 406,3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3000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Управление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981 308,50000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46 038,33000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598 713,15000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738 466,81911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126 201,94003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99 826,36908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85 093,53000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378 893,18000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1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02.01. Капитальный ремонт, приобретение, монтаж и ввод в эксплуатацию объектов коммунальной инфраструкт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уры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297 238,47850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79 625,42900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115 003,04950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6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57 699,26000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7 491,26000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37 133,64950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6 438,60000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30 695,04950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81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7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7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Содержание водопровода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7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Дезинфекция колодцев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ТУ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7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Назарьевское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682898" w:rsidRPr="00682898" w:rsidTr="00E3732B">
        <w:trPr>
          <w:trHeight w:val="183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682898" w:rsidRPr="00682898" w:rsidTr="00E3732B">
        <w:trPr>
          <w:trHeight w:val="79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Одинцоский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г.о. 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62 866,76000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8 533,96000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54 332,80000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38 490,86000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4 532,86000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33 958,00000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24 375,90000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4 001,10000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20 374,80000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65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1.1.8.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, Одинцовский г.о.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420,60000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420,60000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1.1.9.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Капитальный ремонт водопроводных сетей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31 395,90000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5 395,90000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19 208,40000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2 958,40000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16 250,00000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12 187,50000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2 437,50000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48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1.1.10.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1 624 092,40961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317 018,10003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69 131,31958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131 131,86000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977 606,33000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923 609,24000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46 038,33000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598 713,15000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700 483,16961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118 913,34003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69 131,31958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85 093,53000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378 893,18000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3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хозяйственно-бытовой канализации в дер.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Раздоры Одинцовского городского округа Московской области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462 222,05837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316 968,10000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  <w:r w:rsidRPr="00682898">
              <w:rPr>
                <w:rFonts w:ascii="Arial" w:hAnsi="Arial" w:cs="Arial"/>
                <w:color w:val="000000"/>
              </w:rPr>
              <w:br/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72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278 857,76000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183 364,29837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118 863,34000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16 049,15837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3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Погашение кредиторской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задолжености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</w:tr>
      <w:tr w:rsidR="00682898" w:rsidRPr="00682898" w:rsidTr="00E3732B">
        <w:trPr>
          <w:trHeight w:val="18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. тех. присоединение)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208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. тех.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присоединение)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1.2.5.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113 894,21000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26 151,73000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87 742,48000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42 710,33000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12 476,90000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30 233,43000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8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71 183,88000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13 674,83000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57 509,05000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веденское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1.2.7.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Строительство системы ливневой канализации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аздоры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, Одинцовский г.о., Московская область (в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994 843,98000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104 980,13000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889 863,85000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построенных систем ливневой канализации</w:t>
            </w:r>
            <w:r w:rsidRPr="00682898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602 041,15000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33 561,43000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568 479,72000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392 802,83000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71 418,70000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321 384,13000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1.2.8.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Проектирование и строительство котельной д.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Хлюпино</w:t>
            </w:r>
            <w:proofErr w:type="spellEnd"/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Снижение удельного веса потерь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в общем количестве поданного в сеть тепла </w:t>
            </w: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1.2.9.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Закупка на выполнение проектно-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Часцы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», расположенного на территории Одинцовского городского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округа Московской области в 2022 году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Обеспечение населения бесперебойными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услугами утилизации ТКО</w:t>
            </w:r>
          </w:p>
        </w:tc>
      </w:tr>
      <w:tr w:rsidR="00682898" w:rsidRPr="00682898" w:rsidTr="00E3732B">
        <w:trPr>
          <w:trHeight w:val="87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4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51 915,15043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2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682898" w:rsidRPr="00682898" w:rsidTr="00E3732B">
        <w:trPr>
          <w:trHeight w:val="8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1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Обеспечение населения бесперебойными услугами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теплоснабжнния</w:t>
            </w:r>
            <w:proofErr w:type="spellEnd"/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6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421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теплосетевыми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ти, приводящей к снижению надежности теплоснабжения, водоснабжения, водоотведения и др.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682898" w:rsidRPr="00682898" w:rsidTr="00E3732B">
        <w:trPr>
          <w:trHeight w:val="295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207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использоования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682898" w:rsidRPr="00682898" w:rsidTr="00E3732B">
        <w:trPr>
          <w:trHeight w:val="67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82898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 д. Палицы и д. Грязь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Одинцовского городского округа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82898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</w:t>
            </w:r>
          </w:p>
        </w:tc>
      </w:tr>
      <w:tr w:rsidR="00682898" w:rsidRPr="00682898" w:rsidTr="00E3732B">
        <w:trPr>
          <w:trHeight w:val="6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3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82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15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4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03.01. Проведение первоочередных мероприятий по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образования, Комитет по культуре,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городков Московской области</w:t>
            </w:r>
          </w:p>
        </w:tc>
      </w:tr>
      <w:tr w:rsidR="00682898" w:rsidRPr="00682898" w:rsidTr="00E3732B">
        <w:trPr>
          <w:trHeight w:val="91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5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12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Капитальный ремонт МБОУ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СОШ, военный городок Кубинка-7</w:t>
            </w:r>
            <w:r w:rsidRPr="00682898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СОШ)</w:t>
            </w:r>
          </w:p>
        </w:tc>
      </w:tr>
      <w:tr w:rsidR="00682898" w:rsidRPr="00682898" w:rsidTr="00E3732B">
        <w:trPr>
          <w:trHeight w:val="97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Капитальный ремонт здания детского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сада, военный городок Кубинка-7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образования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Создание условий, отвечающих требованиям СанПиН в 100%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образовательных учреждениях. Проведение капитального ремонта (здание детского сада)</w:t>
            </w:r>
          </w:p>
        </w:tc>
      </w:tr>
      <w:tr w:rsidR="00682898" w:rsidRPr="00682898" w:rsidTr="00E3732B">
        <w:trPr>
          <w:trHeight w:val="10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5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50.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Комитет по культуре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682898" w:rsidRPr="00682898" w:rsidTr="00E3732B">
        <w:trPr>
          <w:trHeight w:val="10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0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60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2.1.4.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1 521,97854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599,26740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8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00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04. Создание экономических условий для повышения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эффективности работы организаций жилищно-коммунального хозяйства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1 375 013,39972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473 859,38186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8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7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04.02. Субсидии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образования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Предоставление субсидий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682898" w:rsidRPr="00682898" w:rsidTr="00E3732B">
        <w:trPr>
          <w:trHeight w:val="81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04.05.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 xml:space="preserve">за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682898" w:rsidRPr="00682898" w:rsidTr="00E3732B">
        <w:trPr>
          <w:trHeight w:val="225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24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190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82898" w:rsidRPr="00682898" w:rsidTr="00E3732B">
        <w:trPr>
          <w:trHeight w:val="189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82898" w:rsidRPr="00682898" w:rsidTr="00E3732B">
        <w:trPr>
          <w:trHeight w:val="189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05.02. Утверждение схем водоснабжения и водоотведения городских округов (актуализиро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ванных схем водоснабжения и водоотведения городских округов)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82898" w:rsidRPr="00682898" w:rsidTr="00E3732B">
        <w:trPr>
          <w:trHeight w:val="20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4.2.1.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82898" w:rsidRPr="00682898" w:rsidTr="00E3732B">
        <w:trPr>
          <w:trHeight w:val="18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05.03. Утверждение программ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комплексного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82898" w:rsidRPr="00682898" w:rsidTr="00E3732B">
        <w:trPr>
          <w:trHeight w:val="1785"/>
        </w:trPr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5 467 679,04895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1 394 636,23184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1 631 570,25803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561 134,36908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516 931,86000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1 363 406,33000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69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1 387 387,50000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459 832,00000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77 208,00000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46 038,33000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598 713,15000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95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2 127 885,97995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553 794,23184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1 010 278,66903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99 826,36908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85 093,53000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378 893,18000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840"/>
        </w:trPr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6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682898" w:rsidRPr="00682898" w:rsidTr="00E3732B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682898" w:rsidRPr="00682898" w:rsidTr="00E3732B">
        <w:trPr>
          <w:trHeight w:val="27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8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30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01.04. Замена светильников внутреннего освещения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светодиодные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7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1.8.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28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3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1.10.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682898" w:rsidRPr="00682898" w:rsidTr="00E3732B">
        <w:trPr>
          <w:trHeight w:val="22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1.10.1.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682898" w:rsidRPr="00682898" w:rsidTr="00E3732B">
        <w:trPr>
          <w:trHeight w:val="24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1.10.2.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682898" w:rsidRPr="00682898" w:rsidTr="00E3732B">
        <w:trPr>
          <w:trHeight w:val="21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1.10.3.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682898" w:rsidRPr="00682898" w:rsidTr="00E3732B">
        <w:trPr>
          <w:trHeight w:val="2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1.10.4.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 xml:space="preserve">энергетических ресурсов. </w:t>
            </w:r>
          </w:p>
        </w:tc>
      </w:tr>
      <w:tr w:rsidR="00682898" w:rsidRPr="00682898" w:rsidTr="00E3732B">
        <w:trPr>
          <w:trHeight w:val="7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682898" w:rsidRPr="00682898" w:rsidTr="00E3732B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0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682898" w:rsidRPr="00682898" w:rsidTr="00E3732B">
        <w:trPr>
          <w:trHeight w:val="7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26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682898" w:rsidRPr="00682898" w:rsidTr="00E3732B">
        <w:trPr>
          <w:trHeight w:val="14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650,34520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"Развитие газификации"</w:t>
            </w:r>
          </w:p>
        </w:tc>
      </w:tr>
      <w:tr w:rsidR="00682898" w:rsidRPr="00682898" w:rsidTr="00E3732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10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6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682898" w:rsidRPr="00682898" w:rsidTr="00E3732B">
        <w:trPr>
          <w:trHeight w:val="17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682898" w:rsidRPr="00682898" w:rsidTr="00E3732B">
        <w:trPr>
          <w:trHeight w:val="17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682898" w:rsidRPr="00682898" w:rsidTr="00E3732B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Корректировка проектной документации для газификации в д.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Асаково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хозяйства, ТУ Кубинка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682898" w:rsidRPr="00682898" w:rsidTr="00E3732B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"Развитие газификации"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Подпрограмма  "Обеспечивающая подпрограмма"</w:t>
            </w:r>
          </w:p>
        </w:tc>
      </w:tr>
      <w:tr w:rsidR="00682898" w:rsidRPr="00682898" w:rsidTr="00E3732B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Основное мероприятие 01. Создание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8 275,68904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Благоустр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ойства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682898" w:rsidRPr="00682898" w:rsidTr="00E3732B">
        <w:trPr>
          <w:trHeight w:val="6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6 981,68904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2 789,60600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1 457,31700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682898" w:rsidRPr="00682898" w:rsidTr="00E3732B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1 495,60600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795,31700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 xml:space="preserve">, газо- и </w:t>
            </w:r>
            <w:r w:rsidRPr="00682898">
              <w:rPr>
                <w:rFonts w:ascii="Arial" w:hAnsi="Arial" w:cs="Arial"/>
                <w:color w:val="000000"/>
              </w:rPr>
              <w:lastRenderedPageBreak/>
              <w:t>водоснабжения населения, водоотведения, снабжения населения топливом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5 486,08304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1 391,52624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Присоединение </w:t>
            </w:r>
            <w:proofErr w:type="spellStart"/>
            <w:r w:rsidRPr="00682898">
              <w:rPr>
                <w:rFonts w:ascii="Arial" w:hAnsi="Arial" w:cs="Arial"/>
                <w:color w:val="000000"/>
              </w:rPr>
              <w:t>энергопринимающих</w:t>
            </w:r>
            <w:proofErr w:type="spellEnd"/>
            <w:r w:rsidRPr="00682898">
              <w:rPr>
                <w:rFonts w:ascii="Arial" w:hAnsi="Arial" w:cs="Arial"/>
                <w:color w:val="000000"/>
              </w:rPr>
              <w:t xml:space="preserve"> устройств к электрической сети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137,84040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64,43280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73,40760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Организация в границах городского округа электроснабжения населения</w:t>
            </w:r>
          </w:p>
        </w:tc>
      </w:tr>
      <w:tr w:rsidR="00682898" w:rsidRPr="00682898" w:rsidTr="00E3732B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5 348,24264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1 366,96320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Организация в границах городского округа водоснабжения населения</w:t>
            </w:r>
          </w:p>
        </w:tc>
      </w:tr>
      <w:tr w:rsidR="00682898" w:rsidRPr="00682898" w:rsidTr="00E3732B">
        <w:trPr>
          <w:trHeight w:val="16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Организация в границах городского округа электро-, тепл</w:t>
            </w:r>
            <w:proofErr w:type="gramStart"/>
            <w:r w:rsidRPr="0068289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82898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682898" w:rsidRPr="00682898" w:rsidTr="00E3732B">
        <w:trPr>
          <w:trHeight w:val="10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8 275,68904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898" w:rsidRPr="00682898" w:rsidTr="00E3732B">
        <w:trPr>
          <w:trHeight w:val="7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6 981,68904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7 797 550,12328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2 027 158,36825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2 210 636,41157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865 236,65946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1 088 546,09200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1 605 972,59200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376 042,80000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219 809,40000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35 575,80000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2 400 773,52000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729 904,98000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553 355,05000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224 836,62000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181 751,33000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710 925,54000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7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3 068 328,23428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807 493,38825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1 229 678,19257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256 300,03946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301 185,36200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473 671,25200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  <w:tr w:rsidR="00682898" w:rsidRPr="00682898" w:rsidTr="00E3732B">
        <w:trPr>
          <w:trHeight w:val="99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3732B" w:rsidRDefault="00E3732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3732B" w:rsidRPr="00682898" w:rsidTr="00A00E58">
        <w:trPr>
          <w:trHeight w:val="2844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732B" w:rsidRPr="00682898" w:rsidRDefault="00E3732B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  <w:p w:rsidR="00E3732B" w:rsidRPr="00682898" w:rsidRDefault="00E3732B" w:rsidP="00E3732B">
            <w:pPr>
              <w:jc w:val="right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                     ".</w:t>
            </w:r>
          </w:p>
          <w:p w:rsidR="00E3732B" w:rsidRPr="00682898" w:rsidRDefault="00E3732B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  <w:p w:rsidR="00E3732B" w:rsidRPr="00682898" w:rsidRDefault="00E3732B" w:rsidP="00682898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2898">
              <w:rPr>
                <w:rFonts w:ascii="Arial" w:hAnsi="Arial" w:cs="Arial"/>
                <w:color w:val="000000"/>
              </w:rPr>
              <w:t>М.В. Коротаев</w:t>
            </w:r>
          </w:p>
          <w:p w:rsidR="00E3732B" w:rsidRPr="00682898" w:rsidRDefault="00E3732B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  <w:p w:rsidR="00E3732B" w:rsidRPr="00682898" w:rsidRDefault="00E3732B" w:rsidP="00682898">
            <w:pPr>
              <w:jc w:val="center"/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  <w:p w:rsidR="00E3732B" w:rsidRPr="00682898" w:rsidRDefault="00E3732B" w:rsidP="00E3732B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 </w:t>
            </w:r>
          </w:p>
          <w:p w:rsidR="00E3732B" w:rsidRPr="00682898" w:rsidRDefault="00E3732B" w:rsidP="00E3732B">
            <w:pPr>
              <w:rPr>
                <w:rFonts w:ascii="Arial" w:hAnsi="Arial" w:cs="Arial"/>
                <w:color w:val="000000"/>
              </w:rPr>
            </w:pPr>
            <w:r w:rsidRPr="00682898">
              <w:rPr>
                <w:rFonts w:ascii="Arial" w:hAnsi="Arial" w:cs="Arial"/>
                <w:color w:val="000000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  <w:color w:val="000000"/>
              </w:rPr>
              <w:t xml:space="preserve">                                </w:t>
            </w:r>
            <w:bookmarkStart w:id="1" w:name="_GoBack"/>
            <w:bookmarkEnd w:id="1"/>
            <w:r w:rsidRPr="00682898">
              <w:rPr>
                <w:rFonts w:ascii="Arial" w:hAnsi="Arial" w:cs="Arial"/>
                <w:color w:val="000000"/>
              </w:rPr>
              <w:t>Н.А. Стародубова</w:t>
            </w:r>
          </w:p>
        </w:tc>
      </w:tr>
    </w:tbl>
    <w:p w:rsidR="00682898" w:rsidRDefault="00682898" w:rsidP="00EF0571">
      <w:pPr>
        <w:widowControl w:val="0"/>
        <w:rPr>
          <w:rFonts w:ascii="Arial" w:hAnsi="Arial" w:cs="Arial"/>
        </w:rPr>
        <w:sectPr w:rsidR="00682898" w:rsidSect="00682898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03"/>
        <w:gridCol w:w="3163"/>
        <w:gridCol w:w="1538"/>
        <w:gridCol w:w="1376"/>
        <w:gridCol w:w="1487"/>
        <w:gridCol w:w="1064"/>
        <w:gridCol w:w="991"/>
        <w:gridCol w:w="1033"/>
        <w:gridCol w:w="983"/>
        <w:gridCol w:w="981"/>
        <w:gridCol w:w="1467"/>
      </w:tblGrid>
      <w:tr w:rsidR="00682898" w:rsidRPr="00682898" w:rsidTr="00682898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bookmarkStart w:id="2" w:name="RANGE!A1:K40"/>
            <w:r w:rsidRPr="00682898">
              <w:rPr>
                <w:rFonts w:ascii="Arial" w:hAnsi="Arial" w:cs="Arial"/>
              </w:rPr>
              <w:lastRenderedPageBreak/>
              <w:t> </w:t>
            </w:r>
            <w:bookmarkEnd w:id="2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Default="00682898" w:rsidP="00682898">
            <w:pPr>
              <w:jc w:val="right"/>
              <w:rPr>
                <w:rFonts w:ascii="Arial" w:hAnsi="Arial" w:cs="Arial"/>
              </w:rPr>
            </w:pPr>
          </w:p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Приложение 3 к постановлению                </w:t>
            </w:r>
          </w:p>
        </w:tc>
      </w:tr>
      <w:tr w:rsidR="00682898" w:rsidRPr="00682898" w:rsidTr="00682898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Администрации Одинцовского</w:t>
            </w:r>
            <w:r w:rsidRPr="00682898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682898">
              <w:rPr>
                <w:rFonts w:ascii="Arial" w:hAnsi="Arial" w:cs="Arial"/>
              </w:rPr>
              <w:br/>
              <w:t>от 06.05.2022 № 1865</w:t>
            </w:r>
          </w:p>
        </w:tc>
      </w:tr>
      <w:tr w:rsidR="00682898" w:rsidRPr="00682898" w:rsidTr="00682898">
        <w:trPr>
          <w:trHeight w:val="9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"Приложение 2</w:t>
            </w:r>
            <w:r w:rsidRPr="00682898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  <w:tr w:rsidR="00682898" w:rsidRPr="00682898" w:rsidTr="00682898">
        <w:trPr>
          <w:trHeight w:val="1170"/>
        </w:trPr>
        <w:tc>
          <w:tcPr>
            <w:tcW w:w="18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682898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682898">
              <w:rPr>
                <w:rFonts w:ascii="Arial" w:hAnsi="Arial" w:cs="Arial"/>
              </w:rPr>
              <w:t>энергоэффективности</w:t>
            </w:r>
            <w:proofErr w:type="spellEnd"/>
            <w:r w:rsidRPr="00682898">
              <w:rPr>
                <w:rFonts w:ascii="Arial" w:hAnsi="Arial" w:cs="Arial"/>
              </w:rPr>
              <w:t>"</w:t>
            </w:r>
          </w:p>
        </w:tc>
      </w:tr>
      <w:tr w:rsidR="00682898" w:rsidRPr="00682898" w:rsidTr="00682898">
        <w:trPr>
          <w:trHeight w:val="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</w:tr>
      <w:tr w:rsidR="00682898" w:rsidRPr="00682898" w:rsidTr="00682898">
        <w:trPr>
          <w:trHeight w:val="6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№ </w:t>
            </w:r>
            <w:proofErr w:type="gramStart"/>
            <w:r w:rsidRPr="00682898">
              <w:rPr>
                <w:rFonts w:ascii="Arial" w:hAnsi="Arial" w:cs="Arial"/>
              </w:rPr>
              <w:t>п</w:t>
            </w:r>
            <w:proofErr w:type="gramEnd"/>
            <w:r w:rsidRPr="00682898">
              <w:rPr>
                <w:rFonts w:ascii="Arial" w:hAnsi="Arial" w:cs="Arial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682898" w:rsidRPr="00682898" w:rsidTr="00682898">
        <w:trPr>
          <w:trHeight w:val="123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2024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</w:p>
        </w:tc>
      </w:tr>
      <w:tr w:rsidR="00682898" w:rsidRPr="00682898" w:rsidTr="00682898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12</w:t>
            </w:r>
          </w:p>
        </w:tc>
      </w:tr>
      <w:tr w:rsidR="00682898" w:rsidRPr="00682898" w:rsidTr="00682898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</w:t>
            </w:r>
          </w:p>
        </w:tc>
        <w:tc>
          <w:tcPr>
            <w:tcW w:w="1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682898" w:rsidRPr="00682898" w:rsidTr="00682898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14,00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02,F5</w:t>
            </w:r>
          </w:p>
        </w:tc>
      </w:tr>
      <w:tr w:rsidR="00682898" w:rsidRPr="00682898" w:rsidTr="0068289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</w:t>
            </w:r>
          </w:p>
        </w:tc>
        <w:tc>
          <w:tcPr>
            <w:tcW w:w="1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682898" w:rsidRPr="00682898" w:rsidTr="00682898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ед./</w:t>
            </w:r>
            <w:proofErr w:type="spellStart"/>
            <w:r w:rsidRPr="00682898">
              <w:rPr>
                <w:rFonts w:ascii="Arial" w:hAnsi="Arial" w:cs="Arial"/>
              </w:rPr>
              <w:t>тыс</w:t>
            </w:r>
            <w:proofErr w:type="gramStart"/>
            <w:r w:rsidRPr="00682898">
              <w:rPr>
                <w:rFonts w:ascii="Arial" w:hAnsi="Arial" w:cs="Arial"/>
              </w:rPr>
              <w:t>.к</w:t>
            </w:r>
            <w:proofErr w:type="gramEnd"/>
            <w:r w:rsidRPr="00682898">
              <w:rPr>
                <w:rFonts w:ascii="Arial" w:hAnsi="Arial" w:cs="Arial"/>
              </w:rPr>
              <w:t>уб.м</w:t>
            </w:r>
            <w:proofErr w:type="spellEnd"/>
            <w:r w:rsidRPr="00682898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0/0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0/00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0/0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0/0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</w:t>
            </w:r>
          </w:p>
        </w:tc>
      </w:tr>
      <w:tr w:rsidR="00682898" w:rsidRPr="00682898" w:rsidTr="00682898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Региональный проект "Оздоровление Волги"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proofErr w:type="spellStart"/>
            <w:r w:rsidRPr="00682898">
              <w:rPr>
                <w:rFonts w:ascii="Arial" w:hAnsi="Arial" w:cs="Arial"/>
              </w:rPr>
              <w:t>куб</w:t>
            </w:r>
            <w:proofErr w:type="gramStart"/>
            <w:r w:rsidRPr="00682898">
              <w:rPr>
                <w:rFonts w:ascii="Arial" w:hAnsi="Arial" w:cs="Arial"/>
              </w:rPr>
              <w:t>.к</w:t>
            </w:r>
            <w:proofErr w:type="gramEnd"/>
            <w:r w:rsidRPr="00682898">
              <w:rPr>
                <w:rFonts w:ascii="Arial" w:hAnsi="Arial" w:cs="Arial"/>
              </w:rPr>
              <w:t>м</w:t>
            </w:r>
            <w:proofErr w:type="spellEnd"/>
            <w:r w:rsidRPr="00682898">
              <w:rPr>
                <w:rFonts w:ascii="Arial" w:hAnsi="Arial" w:cs="Arial"/>
              </w:rPr>
              <w:t>/год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0,002555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G6</w:t>
            </w:r>
          </w:p>
        </w:tc>
      </w:tr>
      <w:tr w:rsidR="00682898" w:rsidRPr="00682898" w:rsidTr="0068289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</w:t>
            </w:r>
          </w:p>
        </w:tc>
        <w:tc>
          <w:tcPr>
            <w:tcW w:w="1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682898" w:rsidRPr="00682898" w:rsidTr="00682898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682898">
              <w:rPr>
                <w:rFonts w:ascii="Arial" w:hAnsi="Arial" w:cs="Arial"/>
              </w:rPr>
              <w:t>теплоэнергии</w:t>
            </w:r>
            <w:proofErr w:type="spellEnd"/>
            <w:r w:rsidRPr="00682898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9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Показатель муниципальной </w:t>
            </w:r>
            <w:r w:rsidRPr="00682898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 xml:space="preserve">кг </w:t>
            </w:r>
            <w:proofErr w:type="spellStart"/>
            <w:r w:rsidRPr="00682898">
              <w:rPr>
                <w:rFonts w:ascii="Arial" w:hAnsi="Arial" w:cs="Arial"/>
              </w:rPr>
              <w:t>у</w:t>
            </w:r>
            <w:proofErr w:type="gramStart"/>
            <w:r w:rsidRPr="00682898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682898">
              <w:rPr>
                <w:rFonts w:ascii="Arial" w:hAnsi="Arial" w:cs="Arial"/>
              </w:rPr>
              <w:t>/Гкал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6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682898">
              <w:rPr>
                <w:rFonts w:ascii="Arial" w:hAnsi="Arial" w:cs="Arial"/>
              </w:rPr>
              <w:t>т.ч</w:t>
            </w:r>
            <w:proofErr w:type="spellEnd"/>
            <w:r w:rsidRPr="00682898">
              <w:rPr>
                <w:rFonts w:ascii="Arial" w:hAnsi="Arial" w:cs="Arial"/>
              </w:rPr>
              <w:t>. переведенных на природный газ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proofErr w:type="spellStart"/>
            <w:r w:rsidRPr="00682898">
              <w:rPr>
                <w:rFonts w:ascii="Arial" w:hAnsi="Arial" w:cs="Arial"/>
              </w:rPr>
              <w:t>тыс</w:t>
            </w:r>
            <w:proofErr w:type="gramStart"/>
            <w:r w:rsidRPr="00682898">
              <w:rPr>
                <w:rFonts w:ascii="Arial" w:hAnsi="Arial" w:cs="Arial"/>
              </w:rPr>
              <w:t>.р</w:t>
            </w:r>
            <w:proofErr w:type="gramEnd"/>
            <w:r w:rsidRPr="00682898">
              <w:rPr>
                <w:rFonts w:ascii="Arial" w:hAnsi="Arial" w:cs="Arial"/>
              </w:rPr>
              <w:t>уб</w:t>
            </w:r>
            <w:proofErr w:type="spellEnd"/>
            <w:r w:rsidRPr="00682898">
              <w:rPr>
                <w:rFonts w:ascii="Arial" w:hAnsi="Arial" w:cs="Arial"/>
              </w:rPr>
              <w:t>.   /</w:t>
            </w:r>
            <w:proofErr w:type="spellStart"/>
            <w:r w:rsidRPr="00682898">
              <w:rPr>
                <w:rFonts w:ascii="Arial" w:hAnsi="Arial" w:cs="Arial"/>
              </w:rPr>
              <w:t>тыс.чел</w:t>
            </w:r>
            <w:proofErr w:type="spellEnd"/>
            <w:r w:rsidRPr="00682898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955,12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1 250,00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4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682898">
              <w:rPr>
                <w:rFonts w:ascii="Arial" w:hAnsi="Arial" w:cs="Arial"/>
              </w:rPr>
              <w:t>привиденных</w:t>
            </w:r>
            <w:proofErr w:type="spellEnd"/>
            <w:r w:rsidRPr="00682898">
              <w:rPr>
                <w:rFonts w:ascii="Arial" w:hAnsi="Arial" w:cs="Arial"/>
              </w:rPr>
              <w:t xml:space="preserve"> в </w:t>
            </w:r>
            <w:proofErr w:type="gramStart"/>
            <w:r w:rsidRPr="00682898">
              <w:rPr>
                <w:rFonts w:ascii="Arial" w:hAnsi="Arial" w:cs="Arial"/>
              </w:rPr>
              <w:t>надлежащие</w:t>
            </w:r>
            <w:proofErr w:type="gramEnd"/>
            <w:r w:rsidRPr="00682898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Количество созданных и  восстановленных объектов коммунальной инфраструктуры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03</w:t>
            </w:r>
          </w:p>
        </w:tc>
      </w:tr>
      <w:tr w:rsidR="00682898" w:rsidRPr="00682898" w:rsidTr="00682898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14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3.12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05</w:t>
            </w:r>
          </w:p>
        </w:tc>
      </w:tr>
      <w:tr w:rsidR="00682898" w:rsidRPr="00682898" w:rsidTr="00682898">
        <w:trPr>
          <w:trHeight w:val="60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3.13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proofErr w:type="gramStart"/>
            <w:r w:rsidRPr="00682898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682898">
              <w:rPr>
                <w:rFonts w:ascii="Arial" w:hAnsi="Arial" w:cs="Arial"/>
              </w:rPr>
              <w:t>ресурсоснабжающих</w:t>
            </w:r>
            <w:proofErr w:type="spellEnd"/>
            <w:r w:rsidRPr="00682898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682898">
              <w:rPr>
                <w:rFonts w:ascii="Arial" w:hAnsi="Arial" w:cs="Arial"/>
              </w:rPr>
              <w:t xml:space="preserve"> </w:t>
            </w:r>
            <w:proofErr w:type="gramStart"/>
            <w:r w:rsidRPr="00682898">
              <w:rPr>
                <w:rFonts w:ascii="Arial" w:hAnsi="Arial" w:cs="Arial"/>
              </w:rPr>
              <w:t xml:space="preserve">за потребленные ресурсы (газ, электроэнергию, </w:t>
            </w:r>
            <w:r w:rsidRPr="00682898">
              <w:rPr>
                <w:rFonts w:ascii="Arial" w:hAnsi="Arial" w:cs="Arial"/>
              </w:rPr>
              <w:lastRenderedPageBreak/>
              <w:t>тепловую энергию и воду), признанной невозможной к взысканию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br w:type="page"/>
              <w:t>(</w:t>
            </w:r>
            <w:proofErr w:type="spellStart"/>
            <w:r w:rsidRPr="00682898">
              <w:rPr>
                <w:rFonts w:ascii="Arial" w:hAnsi="Arial" w:cs="Arial"/>
              </w:rPr>
              <w:t>Согласшение</w:t>
            </w:r>
            <w:proofErr w:type="spellEnd"/>
            <w:r w:rsidRPr="00682898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proofErr w:type="spellStart"/>
            <w:r w:rsidRPr="00682898">
              <w:rPr>
                <w:rFonts w:ascii="Arial" w:hAnsi="Arial" w:cs="Arial"/>
              </w:rPr>
              <w:t>Тыс</w:t>
            </w:r>
            <w:proofErr w:type="gramStart"/>
            <w:r w:rsidRPr="00682898">
              <w:rPr>
                <w:rFonts w:ascii="Arial" w:hAnsi="Arial" w:cs="Arial"/>
              </w:rPr>
              <w:t>.р</w:t>
            </w:r>
            <w:proofErr w:type="gramEnd"/>
            <w:r w:rsidRPr="00682898">
              <w:rPr>
                <w:rFonts w:ascii="Arial" w:hAnsi="Arial" w:cs="Arial"/>
              </w:rPr>
              <w:t>уб</w:t>
            </w:r>
            <w:proofErr w:type="spellEnd"/>
            <w:r w:rsidRPr="00682898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27 000,00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04</w:t>
            </w:r>
          </w:p>
        </w:tc>
      </w:tr>
      <w:tr w:rsidR="00682898" w:rsidRPr="00682898" w:rsidTr="00682898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Количество построенных систем ливневой канализации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02</w:t>
            </w:r>
          </w:p>
        </w:tc>
      </w:tr>
      <w:tr w:rsidR="00682898" w:rsidRPr="00682898" w:rsidTr="00682898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</w:t>
            </w:r>
          </w:p>
        </w:tc>
        <w:tc>
          <w:tcPr>
            <w:tcW w:w="1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682898" w:rsidRPr="00682898" w:rsidTr="00682898">
        <w:trPr>
          <w:trHeight w:val="18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муниципальных учреждений, оснащенных </w:t>
            </w:r>
            <w:r w:rsidRPr="00682898">
              <w:rPr>
                <w:rFonts w:ascii="Arial" w:hAnsi="Arial" w:cs="Arial"/>
              </w:rPr>
              <w:lastRenderedPageBreak/>
              <w:t>приборами учета потребляемых энергетических ресурсов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62,11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87,75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01,02</w:t>
            </w:r>
          </w:p>
        </w:tc>
      </w:tr>
      <w:tr w:rsidR="00682898" w:rsidRPr="00682898" w:rsidTr="00682898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67,92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76,27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79,59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93,40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01,02</w:t>
            </w:r>
          </w:p>
        </w:tc>
      </w:tr>
      <w:tr w:rsidR="00682898" w:rsidRPr="00682898" w:rsidTr="00682898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46,00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01,02</w:t>
            </w:r>
          </w:p>
        </w:tc>
      </w:tr>
      <w:tr w:rsidR="00682898" w:rsidRPr="00682898" w:rsidTr="00682898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682898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37,64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42,72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57,00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01,02</w:t>
            </w:r>
          </w:p>
        </w:tc>
      </w:tr>
      <w:tr w:rsidR="00682898" w:rsidRPr="00682898" w:rsidTr="00682898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</w:t>
            </w:r>
          </w:p>
        </w:tc>
        <w:tc>
          <w:tcPr>
            <w:tcW w:w="1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682898" w:rsidRPr="00682898" w:rsidTr="00682898">
        <w:trPr>
          <w:trHeight w:val="1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5.1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proofErr w:type="spellStart"/>
            <w:r w:rsidRPr="00682898">
              <w:rPr>
                <w:rFonts w:ascii="Arial" w:hAnsi="Arial" w:cs="Arial"/>
              </w:rPr>
              <w:t>тыс.км</w:t>
            </w:r>
            <w:proofErr w:type="spellEnd"/>
            <w:r w:rsidRPr="00682898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2,64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01</w:t>
            </w:r>
          </w:p>
        </w:tc>
      </w:tr>
      <w:tr w:rsidR="00682898" w:rsidRPr="00682898" w:rsidTr="0068289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   ".</w:t>
            </w:r>
          </w:p>
        </w:tc>
      </w:tr>
      <w:tr w:rsidR="00682898" w:rsidRPr="00682898" w:rsidTr="00682898">
        <w:trPr>
          <w:trHeight w:val="45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898" w:rsidRPr="00682898" w:rsidRDefault="00682898" w:rsidP="00682898">
            <w:pPr>
              <w:jc w:val="center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jc w:val="right"/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М.В. Коротаев</w:t>
            </w:r>
          </w:p>
        </w:tc>
      </w:tr>
      <w:tr w:rsidR="00682898" w:rsidRPr="00682898" w:rsidTr="0068289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Pr="00682898" w:rsidRDefault="00682898" w:rsidP="00682898">
            <w:pPr>
              <w:rPr>
                <w:rFonts w:ascii="Arial" w:hAnsi="Arial" w:cs="Arial"/>
              </w:rPr>
            </w:pPr>
            <w:r w:rsidRPr="00682898">
              <w:rPr>
                <w:rFonts w:ascii="Arial" w:hAnsi="Arial" w:cs="Arial"/>
              </w:rPr>
              <w:t> </w:t>
            </w:r>
          </w:p>
        </w:tc>
      </w:tr>
    </w:tbl>
    <w:p w:rsidR="00682898" w:rsidRDefault="00682898" w:rsidP="00EF0571">
      <w:pPr>
        <w:widowControl w:val="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8"/>
        <w:gridCol w:w="1202"/>
        <w:gridCol w:w="1954"/>
        <w:gridCol w:w="1069"/>
        <w:gridCol w:w="899"/>
        <w:gridCol w:w="1317"/>
        <w:gridCol w:w="1164"/>
        <w:gridCol w:w="779"/>
        <w:gridCol w:w="779"/>
        <w:gridCol w:w="779"/>
        <w:gridCol w:w="779"/>
        <w:gridCol w:w="779"/>
        <w:gridCol w:w="779"/>
        <w:gridCol w:w="1027"/>
        <w:gridCol w:w="1092"/>
      </w:tblGrid>
      <w:tr w:rsidR="00682898" w:rsidTr="00682898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bookmarkStart w:id="3" w:name="RANGE!A1:O80"/>
            <w:bookmarkEnd w:id="3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4 к постановлению</w:t>
            </w:r>
          </w:p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Одинцовского</w:t>
            </w:r>
            <w:r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>
              <w:rPr>
                <w:rFonts w:ascii="Arial" w:hAnsi="Arial" w:cs="Arial"/>
              </w:rPr>
              <w:br/>
              <w:t>от 06.05.2022 № 1865</w:t>
            </w:r>
          </w:p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"Приложение 3</w:t>
            </w:r>
          </w:p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2898" w:rsidRDefault="00682898" w:rsidP="00990D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682898" w:rsidTr="00682898">
        <w:trPr>
          <w:trHeight w:val="13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 w:rsidP="00990D5C">
            <w:pPr>
              <w:jc w:val="right"/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 w:rsidP="00990D5C">
            <w:pPr>
              <w:jc w:val="right"/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6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15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АДРЕСНЫЙ ПЕРЕЧЕНЬ ПО СТРОИТЕЛЬСТВУ И РЕКОНСТРУКЦИИ</w:t>
            </w:r>
            <w:r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6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Ответственный</w:t>
            </w:r>
            <w:proofErr w:type="gramEnd"/>
            <w:r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10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lastRenderedPageBreak/>
              <w:t>/п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Направление инвести</w:t>
            </w:r>
            <w:r>
              <w:rPr>
                <w:rFonts w:ascii="Arial" w:hAnsi="Arial" w:cs="Arial"/>
              </w:rPr>
              <w:lastRenderedPageBreak/>
              <w:t>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>
              <w:rPr>
                <w:rFonts w:ascii="Arial" w:hAnsi="Arial" w:cs="Arial"/>
              </w:rPr>
              <w:t>проектирования/строительств</w:t>
            </w:r>
            <w:r>
              <w:rPr>
                <w:rFonts w:ascii="Arial" w:hAnsi="Arial" w:cs="Arial"/>
              </w:rPr>
              <w:lastRenderedPageBreak/>
              <w:t>а</w:t>
            </w:r>
            <w:r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Мощность/</w:t>
            </w:r>
            <w:r>
              <w:rPr>
                <w:rFonts w:ascii="Arial" w:hAnsi="Arial" w:cs="Arial"/>
              </w:rPr>
              <w:br/>
              <w:t>прирос</w:t>
            </w:r>
            <w:r>
              <w:rPr>
                <w:rFonts w:ascii="Arial" w:hAnsi="Arial" w:cs="Arial"/>
              </w:rPr>
              <w:lastRenderedPageBreak/>
              <w:t xml:space="preserve">т мощности объекта </w:t>
            </w:r>
            <w:r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</w:rPr>
              <w:lastRenderedPageBreak/>
              <w:t>стоимость объекта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Профинансировано на </w:t>
            </w:r>
            <w:r>
              <w:rPr>
                <w:rFonts w:ascii="Arial" w:hAnsi="Arial" w:cs="Arial"/>
              </w:rPr>
              <w:lastRenderedPageBreak/>
              <w:t xml:space="preserve">01.01.19,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Источники финанс</w:t>
            </w:r>
            <w:r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сметно</w:t>
            </w:r>
            <w:r>
              <w:rPr>
                <w:rFonts w:ascii="Arial" w:hAnsi="Arial" w:cs="Arial"/>
              </w:rPr>
              <w:lastRenderedPageBreak/>
              <w:t xml:space="preserve">й стоимости до ввода в эксплуатацию,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 главног</w:t>
            </w:r>
            <w:r>
              <w:rPr>
                <w:rFonts w:ascii="Arial" w:hAnsi="Arial" w:cs="Arial"/>
              </w:rPr>
              <w:lastRenderedPageBreak/>
              <w:t>о распорядителя средств бюджета</w:t>
            </w:r>
            <w:r>
              <w:rPr>
                <w:rFonts w:ascii="Arial" w:hAnsi="Arial" w:cs="Arial"/>
              </w:rPr>
              <w:br/>
              <w:t xml:space="preserve">Одинцовского </w:t>
            </w:r>
            <w:r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682898" w:rsidTr="00682898">
        <w:trPr>
          <w:trHeight w:val="19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682898" w:rsidTr="0068289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6,50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232 000,00002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232 000,00002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108 750,00000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108 750,00000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</w:t>
            </w:r>
            <w:r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36 250,00000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36 250,00000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87 000,00002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87 000,00000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>
              <w:rPr>
                <w:rFonts w:ascii="Arial" w:hAnsi="Arial" w:cs="Arial"/>
              </w:rPr>
              <w:t>Каринское</w:t>
            </w:r>
            <w:proofErr w:type="spellEnd"/>
            <w:r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ПИР)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м/куб.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57 875,00000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57 875,00000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9 433,93000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43 441,07000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5 896,21000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25 353,79000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3 537,72000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18 087,28000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682898" w:rsidTr="0068289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1,4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19 800,00000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682898" w:rsidTr="0068289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6,50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65 176,84000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65 176,84000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65 176,84000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11 907,60000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11 907,60000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8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28 827,98000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28 827,98000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24 441,26000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24 441,26000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8,76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120 891,72000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120 891,72000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22 891,72000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56 940,00000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46 158,00000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10 782,00000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18 980,00000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15 386,00000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3 594,00000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44 971,72000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36 456,00000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8 515,72000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4,08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120 891,72000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120 891,72000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98 000,00000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22 891,72000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56 940,00000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46 158,00000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10 782,00000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18 980,00000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15 386,00000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3 594,00000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44 971,72000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36 456,00000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8 515,72000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2,15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143 175,45000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143 175,45000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127 886,94000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15 288,51000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67 435,50000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60 234,60000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7 200,90000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22 478,50000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20 078,20000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2 400,30000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53 261,45000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47 574,14000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5 687,31000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ВЗУ ВНИИС</w:t>
            </w:r>
            <w:r>
              <w:rPr>
                <w:rFonts w:ascii="Arial" w:hAnsi="Arial" w:cs="Arial"/>
              </w:rPr>
              <w:lastRenderedPageBreak/>
              <w:t xml:space="preserve">СОК </w:t>
            </w:r>
            <w:proofErr w:type="spellStart"/>
            <w:r>
              <w:rPr>
                <w:rFonts w:ascii="Arial" w:hAnsi="Arial" w:cs="Arial"/>
              </w:rPr>
              <w:t>г.п</w:t>
            </w:r>
            <w:proofErr w:type="spellEnd"/>
            <w:r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1,48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157 260,51000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157 260,51000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14 460,51000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</w:t>
            </w:r>
            <w:r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682898" w:rsidTr="00682898">
        <w:trPr>
          <w:trHeight w:val="6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Средствав</w:t>
            </w:r>
            <w:proofErr w:type="spellEnd"/>
            <w:r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74 069,70000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67 258,80000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6 810,90000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24 689,90000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22 419,60000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2 270,30000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58 500,91000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53 121,60000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5 379,31000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682898" w:rsidTr="00682898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очистных сооружений пос. Горки-10, Одинцо</w:t>
            </w:r>
            <w:r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7,00                  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677 152,50973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677 152,50973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373 104,77000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167 705,21000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136 342,52973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</w:t>
            </w:r>
            <w:r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233 190,98000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104 660,85000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84 873,95000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254 426,72973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139 913,79000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63 044,36000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51 468,57973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</w:rPr>
              <w:t>блочно</w:t>
            </w:r>
            <w:proofErr w:type="spellEnd"/>
            <w:r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>
              <w:rPr>
                <w:rFonts w:ascii="Arial" w:hAnsi="Arial" w:cs="Arial"/>
              </w:rPr>
              <w:t>Каринское</w:t>
            </w:r>
            <w:proofErr w:type="spellEnd"/>
            <w:r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м/куб.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Строительство </w:t>
            </w:r>
            <w:r>
              <w:rPr>
                <w:rFonts w:ascii="Arial" w:hAnsi="Arial" w:cs="Arial"/>
              </w:rPr>
              <w:lastRenderedPageBreak/>
              <w:t xml:space="preserve">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>
              <w:rPr>
                <w:rFonts w:ascii="Arial" w:hAnsi="Arial" w:cs="Arial"/>
              </w:rPr>
              <w:t>Липовая</w:t>
            </w:r>
            <w:proofErr w:type="gramEnd"/>
            <w:r>
              <w:rPr>
                <w:rFonts w:ascii="Arial" w:hAnsi="Arial" w:cs="Arial"/>
              </w:rPr>
              <w:t>, д.1-а (в том числе 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9,5                 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lastRenderedPageBreak/>
              <w:t>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23 845,0</w:t>
            </w:r>
            <w:r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23 845,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23 845,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lastRenderedPageBreak/>
              <w:t>я Одинцовского городского округа</w:t>
            </w:r>
          </w:p>
        </w:tc>
      </w:tr>
      <w:tr w:rsidR="00682898" w:rsidTr="00682898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1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682898" w:rsidTr="00682898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напорного коллектора от КНС в с. </w:t>
            </w:r>
            <w:r>
              <w:rPr>
                <w:rFonts w:ascii="Arial" w:hAnsi="Arial" w:cs="Arial"/>
              </w:rPr>
              <w:lastRenderedPageBreak/>
              <w:t>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465 123,78546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465 123,78546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338 583,22497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90 206,00049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36 334,56000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Одинцовского городского </w:t>
            </w:r>
            <w:r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682898" w:rsidTr="00682898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279 784,8600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213 608,2000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44 358,4600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21 818,2000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185 338,92546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124 975,02497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45 847,54049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14 516,36000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>
              <w:rPr>
                <w:rFonts w:ascii="Arial" w:hAnsi="Arial" w:cs="Arial"/>
              </w:rPr>
              <w:t>Барвиха</w:t>
            </w:r>
            <w:proofErr w:type="spellEnd"/>
            <w:r>
              <w:rPr>
                <w:rFonts w:ascii="Arial" w:hAnsi="Arial" w:cs="Arial"/>
              </w:rPr>
              <w:t xml:space="preserve"> до очистных </w:t>
            </w:r>
            <w:r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>
              <w:rPr>
                <w:rFonts w:ascii="Arial" w:hAnsi="Arial" w:cs="Arial"/>
              </w:rPr>
              <w:t>Лайково</w:t>
            </w:r>
            <w:proofErr w:type="spellEnd"/>
            <w:r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4,90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9 362,78634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13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682898" w:rsidTr="0068289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682898" w:rsidTr="00682898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950,92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уб.м</w:t>
            </w:r>
            <w:proofErr w:type="spell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462 222,05837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462 222,05837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129 204,80000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316 968,10000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16 049,15837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278 857,76000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80 753,00000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198 104,76000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183 364,29837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48 451,80000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118 863,34000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16 049,15837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сетей водосна</w:t>
            </w:r>
            <w:r>
              <w:rPr>
                <w:rFonts w:ascii="Arial" w:hAnsi="Arial" w:cs="Arial"/>
              </w:rPr>
              <w:lastRenderedPageBreak/>
              <w:t xml:space="preserve">бжения и водоотведения в д. </w:t>
            </w:r>
            <w:proofErr w:type="spellStart"/>
            <w:r>
              <w:rPr>
                <w:rFonts w:ascii="Arial" w:hAnsi="Arial" w:cs="Arial"/>
              </w:rPr>
              <w:t>Подушкино</w:t>
            </w:r>
            <w:proofErr w:type="spellEnd"/>
            <w:r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92,00 </w:t>
            </w:r>
            <w:proofErr w:type="spellStart"/>
            <w:r>
              <w:rPr>
                <w:rFonts w:ascii="Arial" w:hAnsi="Arial" w:cs="Arial"/>
              </w:rPr>
              <w:t>куб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113 894,21000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113 894,21000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26 151,73000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87 742,48000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</w:t>
            </w:r>
            <w:r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682898" w:rsidTr="00682898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42 710,33000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12 476,90000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30 233,43000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71 183,88000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13 674,83000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57 509,05000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аздоры</w:t>
            </w:r>
            <w:proofErr w:type="spellEnd"/>
            <w:r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ПИР).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 л./сек.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994 843,98000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994 843,98000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104 980,13000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889 863,85000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82898" w:rsidTr="00682898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Средстава</w:t>
            </w:r>
            <w:proofErr w:type="spellEnd"/>
            <w:r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602 041,15000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33 561,43000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568 479,72000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</w:t>
            </w:r>
            <w:r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392 802,83000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71 418,70000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321 384,13000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3 863 515,56992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3 863 515,56992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743 672,35634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888 433,37499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315 676,61859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699 153,36000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1 216 579,86000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".</w:t>
            </w:r>
          </w:p>
        </w:tc>
      </w:tr>
      <w:tr w:rsidR="00682898" w:rsidTr="00682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</w:p>
        </w:tc>
      </w:tr>
    </w:tbl>
    <w:p w:rsidR="00682898" w:rsidRDefault="00682898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82898" w:rsidTr="00880241">
        <w:trPr>
          <w:trHeight w:val="150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98" w:rsidRDefault="0068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                                                                         М.В. Коротаев</w:t>
            </w:r>
          </w:p>
          <w:p w:rsidR="00682898" w:rsidRDefault="00682898" w:rsidP="00880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82898" w:rsidRDefault="00682898" w:rsidP="00EF0571">
      <w:pPr>
        <w:widowControl w:val="0"/>
        <w:rPr>
          <w:rFonts w:ascii="Arial" w:hAnsi="Arial" w:cs="Arial"/>
        </w:rPr>
      </w:pPr>
    </w:p>
    <w:p w:rsidR="00682898" w:rsidRDefault="00682898" w:rsidP="00EF0571">
      <w:pPr>
        <w:widowControl w:val="0"/>
        <w:rPr>
          <w:rFonts w:ascii="Arial" w:hAnsi="Arial" w:cs="Arial"/>
        </w:rPr>
      </w:pPr>
    </w:p>
    <w:sectPr w:rsidR="00682898" w:rsidSect="00682898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02" w:rsidRDefault="007F5102" w:rsidP="00CA7953">
      <w:r>
        <w:separator/>
      </w:r>
    </w:p>
  </w:endnote>
  <w:endnote w:type="continuationSeparator" w:id="0">
    <w:p w:rsidR="007F5102" w:rsidRDefault="007F5102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02" w:rsidRDefault="007F5102" w:rsidP="00CA7953">
      <w:r>
        <w:separator/>
      </w:r>
    </w:p>
  </w:footnote>
  <w:footnote w:type="continuationSeparator" w:id="0">
    <w:p w:rsidR="007F5102" w:rsidRDefault="007F5102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2B">
          <w:rPr>
            <w:noProof/>
          </w:rPr>
          <w:t>99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289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54C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2F97"/>
    <w:rsid w:val="00523036"/>
    <w:rsid w:val="00526E5E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2898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655D"/>
    <w:rsid w:val="007D6EC3"/>
    <w:rsid w:val="007E13BA"/>
    <w:rsid w:val="007E616B"/>
    <w:rsid w:val="007F5102"/>
    <w:rsid w:val="007F60A2"/>
    <w:rsid w:val="00800E34"/>
    <w:rsid w:val="008018DB"/>
    <w:rsid w:val="00801D8F"/>
    <w:rsid w:val="0080305C"/>
    <w:rsid w:val="008049A7"/>
    <w:rsid w:val="0080679D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2C15"/>
    <w:rsid w:val="009F597B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24532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3732B"/>
    <w:rsid w:val="00E4136F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82898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82898"/>
    <w:rPr>
      <w:color w:val="954F72"/>
      <w:u w:val="single"/>
    </w:rPr>
  </w:style>
  <w:style w:type="paragraph" w:customStyle="1" w:styleId="xl65">
    <w:name w:val="xl65"/>
    <w:basedOn w:val="a"/>
    <w:rsid w:val="006828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8289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8289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6828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68289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68289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68289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8289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6828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4">
    <w:name w:val="xl7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68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8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8289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6828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68289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68289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68289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6828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6828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8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68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4">
    <w:name w:val="xl12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6828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682898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682898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682898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682898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68289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82898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82898"/>
    <w:rPr>
      <w:color w:val="954F72"/>
      <w:u w:val="single"/>
    </w:rPr>
  </w:style>
  <w:style w:type="paragraph" w:customStyle="1" w:styleId="xl65">
    <w:name w:val="xl65"/>
    <w:basedOn w:val="a"/>
    <w:rsid w:val="006828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68289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8289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6828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68289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68289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68289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8289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6828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4">
    <w:name w:val="xl7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68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82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8289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6828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68289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68289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68289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6828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6828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8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6828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4">
    <w:name w:val="xl12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6828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682898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682898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682898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682898"/>
    <w:pP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682898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6828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682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68289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682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682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956A-2A12-42C6-B84D-42E618B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15335</Words>
  <Characters>87410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38</cp:revision>
  <cp:lastPrinted>2022-03-18T09:48:00Z</cp:lastPrinted>
  <dcterms:created xsi:type="dcterms:W3CDTF">2022-03-17T09:27:00Z</dcterms:created>
  <dcterms:modified xsi:type="dcterms:W3CDTF">2022-05-25T14:13:00Z</dcterms:modified>
</cp:coreProperties>
</file>