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D" w:rsidRPr="009046BE" w:rsidRDefault="00711CD3" w:rsidP="009046BE">
      <w:pPr>
        <w:pStyle w:val="ad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proofErr w:type="gramStart"/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постановлением Администрации Одинцовского городского округа </w:t>
      </w:r>
      <w:r w:rsidR="004115DF" w:rsidRPr="00A705CA">
        <w:rPr>
          <w:sz w:val="28"/>
          <w:szCs w:val="28"/>
        </w:rPr>
        <w:t xml:space="preserve">Московской области </w:t>
      </w:r>
      <w:r w:rsidRPr="00A705CA">
        <w:rPr>
          <w:sz w:val="28"/>
          <w:szCs w:val="28"/>
        </w:rPr>
        <w:t>от 20.08</w:t>
      </w:r>
      <w:r w:rsidR="00C86B19" w:rsidRPr="00A705CA">
        <w:rPr>
          <w:sz w:val="28"/>
          <w:szCs w:val="28"/>
        </w:rPr>
        <w:t>.2019 №</w:t>
      </w:r>
      <w:r w:rsidR="00CA2FCD" w:rsidRPr="00A705CA">
        <w:rPr>
          <w:sz w:val="28"/>
          <w:szCs w:val="28"/>
        </w:rPr>
        <w:t>313,</w:t>
      </w:r>
      <w:r w:rsidR="006D7A55" w:rsidRPr="00A705CA">
        <w:rPr>
          <w:sz w:val="28"/>
          <w:szCs w:val="28"/>
        </w:rPr>
        <w:t xml:space="preserve"> </w:t>
      </w:r>
      <w:r w:rsidR="001C5079" w:rsidRPr="00A705CA">
        <w:rPr>
          <w:sz w:val="28"/>
          <w:szCs w:val="28"/>
        </w:rPr>
        <w:t xml:space="preserve">в связи </w:t>
      </w:r>
      <w:r w:rsidR="00B56E88" w:rsidRPr="00A705CA">
        <w:rPr>
          <w:sz w:val="28"/>
          <w:szCs w:val="28"/>
        </w:rPr>
        <w:t xml:space="preserve">изменением </w:t>
      </w:r>
      <w:r w:rsidR="008069B6" w:rsidRPr="00A705CA">
        <w:rPr>
          <w:sz w:val="28"/>
          <w:szCs w:val="28"/>
        </w:rPr>
        <w:t xml:space="preserve">объемов финансирования </w:t>
      </w:r>
      <w:r w:rsidR="00B56E88" w:rsidRPr="00A705CA">
        <w:rPr>
          <w:sz w:val="28"/>
          <w:szCs w:val="28"/>
        </w:rPr>
        <w:t xml:space="preserve">мероприятий </w:t>
      </w:r>
      <w:r w:rsidR="008069B6" w:rsidRPr="00A705CA">
        <w:rPr>
          <w:sz w:val="28"/>
          <w:szCs w:val="28"/>
        </w:rPr>
        <w:t>за счет средств бюджетов Московской области, Одинцовского городского округа Моск</w:t>
      </w:r>
      <w:r w:rsidR="001F6A30">
        <w:rPr>
          <w:sz w:val="28"/>
          <w:szCs w:val="28"/>
        </w:rPr>
        <w:t>овской области на 2022 год</w:t>
      </w:r>
      <w:r w:rsidR="008069B6" w:rsidRPr="00A705CA">
        <w:rPr>
          <w:sz w:val="28"/>
          <w:szCs w:val="28"/>
        </w:rPr>
        <w:t xml:space="preserve"> подпрограмм</w:t>
      </w:r>
      <w:r w:rsidR="001F6A30">
        <w:rPr>
          <w:sz w:val="28"/>
          <w:szCs w:val="28"/>
        </w:rPr>
        <w:t xml:space="preserve">ы «Системы водоотведения» </w:t>
      </w:r>
      <w:r w:rsidR="00AC1413" w:rsidRPr="00A705CA">
        <w:rPr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="00AC1413" w:rsidRPr="0021244A">
        <w:rPr>
          <w:sz w:val="28"/>
          <w:szCs w:val="28"/>
        </w:rPr>
        <w:t>«Развитие инженерной инфраструктуры и энергоэффективности</w:t>
      </w:r>
      <w:proofErr w:type="gramEnd"/>
      <w:r w:rsidR="00AC1413" w:rsidRPr="0021244A">
        <w:rPr>
          <w:sz w:val="28"/>
          <w:szCs w:val="28"/>
        </w:rPr>
        <w:t xml:space="preserve">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1F6A30">
        <w:rPr>
          <w:sz w:val="28"/>
          <w:szCs w:val="28"/>
        </w:rPr>
        <w:t>23.08.2022 №3998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  <w:proofErr w:type="gramEnd"/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992D67" w:rsidRDefault="002C2173" w:rsidP="000F095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941E8A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07774E" w:rsidRPr="00AC7EC1" w:rsidTr="00521D92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AC7EC1" w:rsidRDefault="0007774E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07774E" w:rsidRDefault="0007774E" w:rsidP="0007774E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07774E">
              <w:rPr>
                <w:bCs/>
                <w:color w:val="000000"/>
                <w:sz w:val="16"/>
                <w:szCs w:val="26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07774E" w:rsidRDefault="0007774E" w:rsidP="0007774E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07774E">
              <w:rPr>
                <w:bCs/>
                <w:color w:val="000000"/>
                <w:sz w:val="16"/>
                <w:szCs w:val="26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07774E" w:rsidRDefault="0007774E" w:rsidP="0007774E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07774E">
              <w:rPr>
                <w:bCs/>
                <w:color w:val="000000"/>
                <w:sz w:val="16"/>
                <w:szCs w:val="26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07774E" w:rsidRDefault="0007774E" w:rsidP="0007774E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07774E">
              <w:rPr>
                <w:bCs/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07774E" w:rsidRDefault="0007774E" w:rsidP="0007774E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07774E">
              <w:rPr>
                <w:bCs/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E" w:rsidRPr="0007774E" w:rsidRDefault="0007774E" w:rsidP="0007774E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07774E">
              <w:rPr>
                <w:bCs/>
                <w:color w:val="000000"/>
                <w:sz w:val="16"/>
                <w:szCs w:val="26"/>
              </w:rPr>
              <w:t>0,00000</w:t>
            </w:r>
          </w:p>
        </w:tc>
      </w:tr>
      <w:tr w:rsidR="00D00701" w:rsidRPr="00AC7EC1" w:rsidTr="00D00701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1" w:rsidRPr="00AC7EC1" w:rsidRDefault="00D00701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2 371 695,28000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235 143,65000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125 648,04000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727 643,56000</w:t>
            </w:r>
          </w:p>
        </w:tc>
      </w:tr>
      <w:tr w:rsidR="00D00701" w:rsidRPr="00AC7EC1" w:rsidTr="00D00701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1" w:rsidRPr="00AC7EC1" w:rsidRDefault="00D00701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3 106 413,51379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1 229 678,19257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552 026,54897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77 843,45200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439 371,93200</w:t>
            </w:r>
          </w:p>
        </w:tc>
      </w:tr>
      <w:tr w:rsidR="0007774E" w:rsidRPr="00AC7EC1" w:rsidTr="00D00701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AC7EC1" w:rsidRDefault="0007774E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D00701" w:rsidRDefault="0007774E" w:rsidP="00D00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0701">
              <w:rPr>
                <w:bCs/>
                <w:color w:val="000000"/>
                <w:sz w:val="18"/>
                <w:szCs w:val="18"/>
              </w:rPr>
              <w:t>1 952 405,56900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D00701" w:rsidRDefault="0007774E" w:rsidP="00D00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0701">
              <w:rPr>
                <w:bCs/>
                <w:color w:val="000000"/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D00701" w:rsidRDefault="0007774E" w:rsidP="00D00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0701">
              <w:rPr>
                <w:bCs/>
                <w:color w:val="000000"/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D00701" w:rsidRDefault="0007774E" w:rsidP="00D00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0701">
              <w:rPr>
                <w:bCs/>
                <w:color w:val="000000"/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D00701" w:rsidRDefault="0007774E" w:rsidP="00D00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0701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D00701" w:rsidRDefault="0007774E" w:rsidP="00D007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0701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</w:tr>
      <w:tr w:rsidR="00D00701" w:rsidRPr="00AC7EC1" w:rsidTr="00D00701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AC7EC1" w:rsidRDefault="00D00701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7 551 171,96279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2 210 636,41157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1 171 270,19897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589 291,49200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1 552 815,49200</w:t>
            </w:r>
          </w:p>
        </w:tc>
      </w:tr>
    </w:tbl>
    <w:p w:rsidR="002C2173" w:rsidRDefault="002C2173" w:rsidP="002C2173">
      <w:pPr>
        <w:ind w:firstLine="709"/>
        <w:jc w:val="right"/>
        <w:rPr>
          <w:szCs w:val="28"/>
          <w:lang w:eastAsia="zh-CN"/>
        </w:rPr>
      </w:pPr>
      <w:r w:rsidRPr="00AC7EC1">
        <w:rPr>
          <w:sz w:val="28"/>
          <w:szCs w:val="28"/>
        </w:rPr>
        <w:t>»;</w:t>
      </w:r>
    </w:p>
    <w:p w:rsidR="005F3736" w:rsidRDefault="005F3736" w:rsidP="005F3736">
      <w:pPr>
        <w:pStyle w:val="a4"/>
        <w:spacing w:after="0" w:line="240" w:lineRule="auto"/>
        <w:ind w:left="709"/>
        <w:jc w:val="right"/>
        <w:rPr>
          <w:szCs w:val="28"/>
        </w:rPr>
      </w:pPr>
    </w:p>
    <w:p w:rsidR="005F3736" w:rsidRPr="00AC7EC1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53CE1" w:rsidRPr="00AC7EC1" w:rsidRDefault="005F3736" w:rsidP="00D53CE1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701"/>
        <w:gridCol w:w="992"/>
        <w:gridCol w:w="851"/>
        <w:gridCol w:w="992"/>
        <w:gridCol w:w="850"/>
        <w:gridCol w:w="851"/>
        <w:gridCol w:w="1094"/>
      </w:tblGrid>
      <w:tr w:rsidR="005F3736" w:rsidRPr="00AC7EC1" w:rsidTr="00AD2E9A">
        <w:trPr>
          <w:trHeight w:val="453"/>
          <w:jc w:val="center"/>
        </w:trPr>
        <w:tc>
          <w:tcPr>
            <w:tcW w:w="1792" w:type="dxa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5F3736" w:rsidRPr="00AC7EC1" w:rsidTr="009B4939">
        <w:trPr>
          <w:trHeight w:val="856"/>
          <w:jc w:val="center"/>
        </w:trPr>
        <w:tc>
          <w:tcPr>
            <w:tcW w:w="1792" w:type="dxa"/>
            <w:vMerge w:val="restart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5F3736" w:rsidRPr="00AC7EC1" w:rsidTr="008069B6">
        <w:trPr>
          <w:trHeight w:val="460"/>
          <w:jc w:val="center"/>
        </w:trPr>
        <w:tc>
          <w:tcPr>
            <w:tcW w:w="1792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D00701" w:rsidRPr="00AC7EC1" w:rsidTr="00D00701">
        <w:trPr>
          <w:trHeight w:val="469"/>
          <w:jc w:val="center"/>
        </w:trPr>
        <w:tc>
          <w:tcPr>
            <w:tcW w:w="179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D00701" w:rsidRPr="00AC7EC1" w:rsidRDefault="00D00701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393 452,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20634</w:t>
            </w:r>
          </w:p>
        </w:tc>
        <w:tc>
          <w:tcPr>
            <w:tcW w:w="851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506 488,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244 862,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06909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60 000,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120 000,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1 324 802,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71040</w:t>
            </w:r>
          </w:p>
        </w:tc>
      </w:tr>
      <w:tr w:rsidR="00D00701" w:rsidRPr="00AC7EC1" w:rsidTr="00D00701">
        <w:trPr>
          <w:trHeight w:val="958"/>
          <w:jc w:val="center"/>
        </w:trPr>
        <w:tc>
          <w:tcPr>
            <w:tcW w:w="179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233 190,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98000</w:t>
            </w:r>
          </w:p>
        </w:tc>
        <w:tc>
          <w:tcPr>
            <w:tcW w:w="851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318 269,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135 752,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37 500,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75 000,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799 712,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71000</w:t>
            </w:r>
          </w:p>
        </w:tc>
      </w:tr>
      <w:tr w:rsidR="00D00701" w:rsidRPr="00AC7EC1" w:rsidTr="00D00701">
        <w:trPr>
          <w:trHeight w:val="869"/>
          <w:jc w:val="center"/>
        </w:trPr>
        <w:tc>
          <w:tcPr>
            <w:tcW w:w="179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160 261,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22634</w:t>
            </w:r>
          </w:p>
        </w:tc>
        <w:tc>
          <w:tcPr>
            <w:tcW w:w="851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188 219,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109 109,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38909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22 500,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45 000,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525 090,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00040</w:t>
            </w:r>
          </w:p>
        </w:tc>
      </w:tr>
      <w:tr w:rsidR="0007774E" w:rsidRPr="00AC7EC1" w:rsidTr="008069B6">
        <w:trPr>
          <w:trHeight w:val="553"/>
          <w:jc w:val="center"/>
        </w:trPr>
        <w:tc>
          <w:tcPr>
            <w:tcW w:w="1792" w:type="dxa"/>
            <w:vMerge/>
          </w:tcPr>
          <w:p w:rsidR="0007774E" w:rsidRPr="00AC7EC1" w:rsidRDefault="0007774E" w:rsidP="00077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07774E" w:rsidRPr="00AC7EC1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774E" w:rsidRPr="00AC7EC1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2953F0" w:rsidRPr="001F6A30" w:rsidRDefault="005F3736" w:rsidP="001F6A30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8069B6">
        <w:rPr>
          <w:szCs w:val="28"/>
        </w:rPr>
        <w:t>;</w:t>
      </w:r>
    </w:p>
    <w:p w:rsidR="003C0927" w:rsidRPr="00064FCD" w:rsidRDefault="001F6A30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</w:t>
      </w:r>
      <w:r w:rsidR="003C0927" w:rsidRPr="00064FCD">
        <w:rPr>
          <w:szCs w:val="28"/>
        </w:rPr>
        <w:t xml:space="preserve"> 1</w:t>
      </w:r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 w:rsidR="00752FC2">
        <w:rPr>
          <w:szCs w:val="28"/>
        </w:rPr>
        <w:t xml:space="preserve">ции согласно </w:t>
      </w:r>
      <w:r>
        <w:rPr>
          <w:szCs w:val="28"/>
        </w:rPr>
        <w:t>приложению</w:t>
      </w:r>
      <w:r w:rsidR="004141D3" w:rsidRPr="00064FCD">
        <w:rPr>
          <w:szCs w:val="28"/>
        </w:rPr>
        <w:t xml:space="preserve"> </w:t>
      </w:r>
      <w:r w:rsidR="00FE372E">
        <w:rPr>
          <w:szCs w:val="28"/>
        </w:rPr>
        <w:t>1</w:t>
      </w:r>
      <w:r w:rsidR="00752FC2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Pr="00CE2359" w:rsidRDefault="00CE2359" w:rsidP="00EF0571">
      <w:pPr>
        <w:widowControl w:val="0"/>
        <w:rPr>
          <w:sz w:val="28"/>
          <w:szCs w:val="28"/>
        </w:rPr>
        <w:sectPr w:rsidR="00CE2359" w:rsidRPr="00CE2359" w:rsidSect="00CA7953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</w:t>
      </w:r>
      <w:proofErr w:type="spellStart"/>
      <w:r w:rsidRPr="002714A1"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</w:t>
      </w:r>
      <w:proofErr w:type="spellStart"/>
      <w:r w:rsidRPr="002714A1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B2C6A" w:rsidRPr="00EB2C6A" w:rsidRDefault="00EB2C6A" w:rsidP="00EB2C6A">
      <w:pPr>
        <w:rPr>
          <w:rFonts w:eastAsia="SimSun"/>
          <w:bCs/>
          <w:sz w:val="28"/>
          <w:szCs w:val="28"/>
          <w:lang w:eastAsia="zh-CN"/>
        </w:rPr>
      </w:pPr>
      <w:r w:rsidRPr="00EB2C6A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B2C6A" w:rsidP="00EB2C6A">
      <w:pPr>
        <w:rPr>
          <w:rFonts w:eastAsia="SimSun"/>
          <w:bCs/>
          <w:sz w:val="28"/>
          <w:szCs w:val="28"/>
          <w:lang w:eastAsia="zh-CN"/>
        </w:rPr>
      </w:pPr>
      <w:r w:rsidRPr="00EB2C6A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6A" w:rsidRDefault="00387B6A" w:rsidP="00CA7953">
      <w:r>
        <w:separator/>
      </w:r>
    </w:p>
  </w:endnote>
  <w:endnote w:type="continuationSeparator" w:id="0">
    <w:p w:rsidR="00387B6A" w:rsidRDefault="00387B6A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6A" w:rsidRDefault="00387B6A" w:rsidP="00CA7953">
      <w:r>
        <w:separator/>
      </w:r>
    </w:p>
  </w:footnote>
  <w:footnote w:type="continuationSeparator" w:id="0">
    <w:p w:rsidR="00387B6A" w:rsidRDefault="00387B6A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21244A" w:rsidRDefault="00212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01">
          <w:rPr>
            <w:noProof/>
          </w:rPr>
          <w:t>2</w:t>
        </w:r>
        <w:r>
          <w:fldChar w:fldCharType="end"/>
        </w:r>
      </w:p>
    </w:sdtContent>
  </w:sdt>
  <w:p w:rsidR="0021244A" w:rsidRDefault="00212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324A"/>
    <w:rsid w:val="008D45B0"/>
    <w:rsid w:val="008D4CEC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0701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B3D0-0149-4634-87BF-16B231E4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ASUS</cp:lastModifiedBy>
  <cp:revision>6</cp:revision>
  <cp:lastPrinted>2022-08-31T14:56:00Z</cp:lastPrinted>
  <dcterms:created xsi:type="dcterms:W3CDTF">2022-08-31T14:41:00Z</dcterms:created>
  <dcterms:modified xsi:type="dcterms:W3CDTF">2022-09-05T10:04:00Z</dcterms:modified>
</cp:coreProperties>
</file>