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AA" w:rsidRPr="003F1431" w:rsidRDefault="00F15565" w:rsidP="00CE14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9086E" w:rsidRPr="00B9086E" w:rsidRDefault="00B9086E">
      <w:pPr>
        <w:rPr>
          <w:rFonts w:ascii="Times New Roman" w:hAnsi="Times New Roman" w:cs="Times New Roman"/>
          <w:sz w:val="28"/>
          <w:szCs w:val="28"/>
        </w:rPr>
      </w:pPr>
    </w:p>
    <w:p w:rsidR="004D5C54" w:rsidRDefault="004D5C54" w:rsidP="003334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3F" w:rsidRPr="0033343F" w:rsidRDefault="0033343F" w:rsidP="0033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3F" w:rsidRPr="00637872" w:rsidRDefault="00961E65" w:rsidP="0033343F">
      <w:pPr>
        <w:spacing w:line="240" w:lineRule="auto"/>
        <w:ind w:left="-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37872">
        <w:rPr>
          <w:rFonts w:ascii="Times New Roman" w:hAnsi="Times New Roman" w:cs="Times New Roman"/>
          <w:color w:val="FFFFFF" w:themeColor="background1"/>
          <w:sz w:val="28"/>
          <w:szCs w:val="28"/>
        </w:rPr>
        <w:t>от 21.12.2021 № 4684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BB0DAA" w:rsidRPr="005514A8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D27D45" w:rsidRPr="005514A8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0B61" w:rsidRPr="005514A8" w:rsidRDefault="006D0B61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780" w:rsidRDefault="00A77780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217" w:rsidRPr="005514A8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5C79EF" w:rsidRPr="005514A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муниципальную программу </w:t>
            </w:r>
          </w:p>
          <w:p w:rsidR="00A52217" w:rsidRPr="005514A8" w:rsidRDefault="00BB0DAA" w:rsidP="00A52217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 xml:space="preserve">Одинцовского городского округа Московской области </w:t>
            </w:r>
          </w:p>
          <w:p w:rsidR="00BB0DAA" w:rsidRPr="005514A8" w:rsidRDefault="00FD35CB" w:rsidP="00A52217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14A8">
              <w:rPr>
                <w:rFonts w:ascii="Times New Roman" w:hAnsi="Times New Roman" w:cs="Times New Roman"/>
                <w:sz w:val="26"/>
                <w:szCs w:val="26"/>
              </w:rPr>
              <w:t>«Переселение граждан из аварийного жилищного фонда» на 2020-2024 годы</w:t>
            </w:r>
          </w:p>
        </w:tc>
      </w:tr>
    </w:tbl>
    <w:p w:rsidR="0095676F" w:rsidRPr="005514A8" w:rsidRDefault="0095676F" w:rsidP="00BB0D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D45" w:rsidRPr="005514A8" w:rsidRDefault="00D27D45" w:rsidP="00BB0D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DAA" w:rsidRPr="005514A8" w:rsidRDefault="0090425E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778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313, </w:t>
      </w:r>
      <w:r w:rsidR="00F15565" w:rsidRPr="00F15565">
        <w:rPr>
          <w:rFonts w:ascii="Times New Roman" w:eastAsia="Times New Roman" w:hAnsi="Times New Roman" w:cs="Times New Roman"/>
          <w:sz w:val="26"/>
          <w:szCs w:val="26"/>
        </w:rPr>
        <w:t>в связи с изменением объемов финансирования                          на 2022 год мероприятий подпрограммы «Обеспечение устойчивого сокращения непригодного для проживания жилищного фонда»</w:t>
      </w:r>
      <w:r w:rsidR="00943EF8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F15565" w:rsidRPr="00F15565">
        <w:rPr>
          <w:rFonts w:ascii="Times New Roman" w:eastAsia="Times New Roman" w:hAnsi="Times New Roman" w:cs="Times New Roman"/>
          <w:sz w:val="26"/>
          <w:szCs w:val="26"/>
        </w:rPr>
        <w:t>униципальной программы Одинцовского городского округа Московской области «Переселение граждан</w:t>
      </w:r>
      <w:r w:rsidR="004607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5565" w:rsidRPr="00F15565">
        <w:rPr>
          <w:rFonts w:ascii="Times New Roman" w:eastAsia="Times New Roman" w:hAnsi="Times New Roman" w:cs="Times New Roman"/>
          <w:sz w:val="26"/>
          <w:szCs w:val="26"/>
        </w:rPr>
        <w:t>из аварийного жилищного фонда» на 2020-2024 годы</w:t>
      </w:r>
      <w:r w:rsidR="00581CF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42086" w:rsidRPr="005514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40C5" w:rsidRPr="005514A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00799" w:rsidRPr="005514A8" w:rsidRDefault="00300799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0DAA" w:rsidRPr="005514A8" w:rsidRDefault="00BB0DAA" w:rsidP="00BE66E8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514A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B0DAA" w:rsidRPr="005514A8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B0DAA" w:rsidRPr="005514A8" w:rsidRDefault="00BB0DAA" w:rsidP="00BB0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A8">
        <w:rPr>
          <w:rFonts w:ascii="Times New Roman" w:eastAsia="Calibri" w:hAnsi="Times New Roman" w:cs="Times New Roman"/>
          <w:sz w:val="26"/>
          <w:szCs w:val="26"/>
        </w:rPr>
        <w:t xml:space="preserve">Внести в муниципальную программу </w:t>
      </w:r>
      <w:r w:rsidRPr="005514A8">
        <w:rPr>
          <w:rFonts w:ascii="Times New Roman" w:hAnsi="Times New Roman" w:cs="Times New Roman"/>
          <w:sz w:val="26"/>
          <w:szCs w:val="26"/>
        </w:rPr>
        <w:t xml:space="preserve">Одинцовского городского округа Московской области </w:t>
      </w:r>
      <w:r w:rsidR="00FD35CB" w:rsidRPr="005514A8">
        <w:rPr>
          <w:rFonts w:ascii="Times New Roman" w:hAnsi="Times New Roman" w:cs="Times New Roman"/>
          <w:sz w:val="26"/>
          <w:szCs w:val="26"/>
        </w:rPr>
        <w:t xml:space="preserve">«Переселение граждан из аварийного жилищного </w:t>
      </w:r>
      <w:proofErr w:type="gramStart"/>
      <w:r w:rsidR="00FD35CB" w:rsidRPr="005514A8">
        <w:rPr>
          <w:rFonts w:ascii="Times New Roman" w:hAnsi="Times New Roman" w:cs="Times New Roman"/>
          <w:sz w:val="26"/>
          <w:szCs w:val="26"/>
        </w:rPr>
        <w:t xml:space="preserve">фонда» </w:t>
      </w:r>
      <w:r w:rsidR="0070350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70350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D35CB" w:rsidRPr="005514A8">
        <w:rPr>
          <w:rFonts w:ascii="Times New Roman" w:hAnsi="Times New Roman" w:cs="Times New Roman"/>
          <w:sz w:val="26"/>
          <w:szCs w:val="26"/>
        </w:rPr>
        <w:t>на 2020-2024 годы</w:t>
      </w:r>
      <w:r w:rsidRPr="005514A8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Администрации Одинцовского городского округа Московской области </w:t>
      </w:r>
      <w:r w:rsidR="00FD35CB" w:rsidRPr="005514A8">
        <w:rPr>
          <w:rFonts w:ascii="Times New Roman" w:hAnsi="Times New Roman" w:cs="Times New Roman"/>
          <w:sz w:val="26"/>
          <w:szCs w:val="26"/>
        </w:rPr>
        <w:t xml:space="preserve">от 30.10.2019 № 1269 (в редакции от </w:t>
      </w:r>
      <w:r w:rsidR="00943EF8">
        <w:rPr>
          <w:rFonts w:ascii="Times New Roman" w:hAnsi="Times New Roman" w:cs="Times New Roman"/>
          <w:sz w:val="26"/>
          <w:szCs w:val="26"/>
        </w:rPr>
        <w:t>13.09</w:t>
      </w:r>
      <w:r w:rsidR="00E46542" w:rsidRPr="005514A8">
        <w:rPr>
          <w:rFonts w:ascii="Times New Roman" w:hAnsi="Times New Roman" w:cs="Times New Roman"/>
          <w:sz w:val="26"/>
          <w:szCs w:val="26"/>
        </w:rPr>
        <w:t>.2022</w:t>
      </w:r>
      <w:r w:rsidR="00FD35CB" w:rsidRPr="005514A8">
        <w:rPr>
          <w:rFonts w:ascii="Times New Roman" w:hAnsi="Times New Roman" w:cs="Times New Roman"/>
          <w:sz w:val="26"/>
          <w:szCs w:val="26"/>
        </w:rPr>
        <w:t xml:space="preserve"> № </w:t>
      </w:r>
      <w:r w:rsidR="00943EF8">
        <w:rPr>
          <w:rFonts w:ascii="Times New Roman" w:hAnsi="Times New Roman" w:cs="Times New Roman"/>
          <w:sz w:val="26"/>
          <w:szCs w:val="26"/>
        </w:rPr>
        <w:t>4712</w:t>
      </w:r>
      <w:r w:rsidR="00FD35CB" w:rsidRPr="005514A8">
        <w:rPr>
          <w:rFonts w:ascii="Times New Roman" w:hAnsi="Times New Roman" w:cs="Times New Roman"/>
          <w:sz w:val="26"/>
          <w:szCs w:val="26"/>
        </w:rPr>
        <w:t>)</w:t>
      </w:r>
      <w:r w:rsidR="00B47900" w:rsidRPr="005514A8">
        <w:rPr>
          <w:rFonts w:ascii="Times New Roman" w:hAnsi="Times New Roman" w:cs="Times New Roman"/>
          <w:sz w:val="26"/>
          <w:szCs w:val="26"/>
        </w:rPr>
        <w:t xml:space="preserve"> </w:t>
      </w:r>
      <w:r w:rsidRPr="005514A8">
        <w:rPr>
          <w:rFonts w:ascii="Times New Roman" w:hAnsi="Times New Roman" w:cs="Times New Roman"/>
          <w:sz w:val="26"/>
          <w:szCs w:val="26"/>
        </w:rPr>
        <w:t xml:space="preserve">(далее – Муниципальная программа), следующие изменения: </w:t>
      </w:r>
    </w:p>
    <w:p w:rsidR="00BB0DAA" w:rsidRPr="005514A8" w:rsidRDefault="005C79EF" w:rsidP="00BB0DAA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A8">
        <w:rPr>
          <w:rFonts w:ascii="Times New Roman" w:hAnsi="Times New Roman" w:cs="Times New Roman"/>
          <w:sz w:val="26"/>
          <w:szCs w:val="26"/>
        </w:rPr>
        <w:t>1)</w:t>
      </w:r>
      <w:r w:rsidR="00BB0DAA" w:rsidRPr="005514A8">
        <w:rPr>
          <w:rFonts w:ascii="Times New Roman" w:hAnsi="Times New Roman" w:cs="Times New Roman"/>
          <w:sz w:val="26"/>
          <w:szCs w:val="26"/>
        </w:rPr>
        <w:t xml:space="preserve"> </w:t>
      </w:r>
      <w:r w:rsidRPr="005514A8">
        <w:rPr>
          <w:rFonts w:ascii="Times New Roman" w:hAnsi="Times New Roman" w:cs="Times New Roman"/>
          <w:sz w:val="26"/>
          <w:szCs w:val="26"/>
        </w:rPr>
        <w:t>р</w:t>
      </w:r>
      <w:r w:rsidR="001B6971" w:rsidRPr="005514A8">
        <w:rPr>
          <w:rFonts w:ascii="Times New Roman" w:hAnsi="Times New Roman" w:cs="Times New Roman"/>
          <w:sz w:val="26"/>
          <w:szCs w:val="26"/>
        </w:rPr>
        <w:t xml:space="preserve">аздел «Источники финансирования муниципальной программы, в том числе по годам:» </w:t>
      </w:r>
      <w:r w:rsidR="00BB0DAA" w:rsidRPr="005514A8">
        <w:rPr>
          <w:rFonts w:ascii="Times New Roman" w:hAnsi="Times New Roman" w:cs="Times New Roman"/>
          <w:sz w:val="26"/>
          <w:szCs w:val="26"/>
        </w:rPr>
        <w:t>паспорт</w:t>
      </w:r>
      <w:r w:rsidR="001B6971" w:rsidRPr="005514A8">
        <w:rPr>
          <w:rFonts w:ascii="Times New Roman" w:hAnsi="Times New Roman" w:cs="Times New Roman"/>
          <w:sz w:val="26"/>
          <w:szCs w:val="26"/>
        </w:rPr>
        <w:t>а</w:t>
      </w:r>
      <w:r w:rsidR="00BB0DAA" w:rsidRPr="005514A8">
        <w:rPr>
          <w:rFonts w:ascii="Times New Roman" w:hAnsi="Times New Roman" w:cs="Times New Roman"/>
          <w:sz w:val="26"/>
          <w:szCs w:val="26"/>
        </w:rPr>
        <w:t xml:space="preserve"> Муниципальной программы изложить в следующей редакции:</w:t>
      </w:r>
    </w:p>
    <w:p w:rsidR="00BB0DAA" w:rsidRPr="005514A8" w:rsidRDefault="00BB0DAA" w:rsidP="00BB0D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14A8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276"/>
        <w:gridCol w:w="1559"/>
        <w:gridCol w:w="1560"/>
        <w:gridCol w:w="1446"/>
        <w:gridCol w:w="1134"/>
      </w:tblGrid>
      <w:tr w:rsidR="00BB0DAA" w:rsidRPr="00386A06" w:rsidTr="007C6A18">
        <w:trPr>
          <w:trHeight w:val="886"/>
        </w:trPr>
        <w:tc>
          <w:tcPr>
            <w:tcW w:w="1702" w:type="dxa"/>
            <w:vMerge w:val="restart"/>
            <w:vAlign w:val="center"/>
          </w:tcPr>
          <w:p w:rsidR="00BB0DAA" w:rsidRPr="00386A06" w:rsidRDefault="00BB0DAA" w:rsidP="00665EA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817" w:type="dxa"/>
            <w:gridSpan w:val="6"/>
            <w:vAlign w:val="center"/>
          </w:tcPr>
          <w:p w:rsidR="00BB0DAA" w:rsidRPr="00386A06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B0DAA" w:rsidRPr="00386A06" w:rsidTr="007C6A18">
        <w:trPr>
          <w:trHeight w:val="730"/>
        </w:trPr>
        <w:tc>
          <w:tcPr>
            <w:tcW w:w="1702" w:type="dxa"/>
            <w:vMerge/>
            <w:vAlign w:val="center"/>
          </w:tcPr>
          <w:p w:rsidR="00BB0DAA" w:rsidRPr="00386A06" w:rsidRDefault="00BB0DAA" w:rsidP="00665EA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B0DAA" w:rsidRPr="007C6A18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6A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B0DAA" w:rsidRPr="007C6A18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6A1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B0DAA" w:rsidRPr="007C6A18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6A1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BB0DAA" w:rsidRPr="007C6A18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6A1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46" w:type="dxa"/>
            <w:vAlign w:val="center"/>
          </w:tcPr>
          <w:p w:rsidR="00BB0DAA" w:rsidRPr="007C6A18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6A1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BB0DAA" w:rsidRPr="007C6A18" w:rsidRDefault="00BB0DAA" w:rsidP="00665E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6A18">
              <w:rPr>
                <w:rFonts w:ascii="Times New Roman" w:hAnsi="Times New Roman" w:cs="Times New Roman"/>
              </w:rPr>
              <w:t>2024 год</w:t>
            </w:r>
          </w:p>
        </w:tc>
      </w:tr>
      <w:tr w:rsidR="00430C4F" w:rsidRPr="00386A06" w:rsidTr="00FD0831">
        <w:trPr>
          <w:trHeight w:val="956"/>
        </w:trPr>
        <w:tc>
          <w:tcPr>
            <w:tcW w:w="1702" w:type="dxa"/>
          </w:tcPr>
          <w:p w:rsidR="00430C4F" w:rsidRPr="00FD35CB" w:rsidRDefault="00430C4F" w:rsidP="00430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5CB">
              <w:rPr>
                <w:rFonts w:ascii="Times New Roman" w:hAnsi="Times New Roman" w:cs="Times New Roman"/>
                <w:sz w:val="18"/>
                <w:szCs w:val="18"/>
              </w:rPr>
              <w:t>Средства Фонда содействия реформированию ЖКХ</w:t>
            </w:r>
          </w:p>
        </w:tc>
        <w:tc>
          <w:tcPr>
            <w:tcW w:w="1842" w:type="dxa"/>
            <w:vAlign w:val="center"/>
          </w:tcPr>
          <w:p w:rsidR="00430C4F" w:rsidRPr="00A77780" w:rsidRDefault="003772FB" w:rsidP="0043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186 831,99231</w:t>
            </w:r>
          </w:p>
        </w:tc>
        <w:tc>
          <w:tcPr>
            <w:tcW w:w="1276" w:type="dxa"/>
            <w:vAlign w:val="center"/>
          </w:tcPr>
          <w:p w:rsidR="00430C4F" w:rsidRPr="00A77780" w:rsidRDefault="00430C4F" w:rsidP="0043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vAlign w:val="center"/>
          </w:tcPr>
          <w:p w:rsidR="00430C4F" w:rsidRPr="00A77780" w:rsidRDefault="00430C4F" w:rsidP="0043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36 239,44800</w:t>
            </w:r>
          </w:p>
        </w:tc>
        <w:tc>
          <w:tcPr>
            <w:tcW w:w="1560" w:type="dxa"/>
            <w:vAlign w:val="center"/>
          </w:tcPr>
          <w:p w:rsidR="00430C4F" w:rsidRPr="00A77780" w:rsidRDefault="00856913" w:rsidP="0043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150 592,54431</w:t>
            </w:r>
          </w:p>
        </w:tc>
        <w:tc>
          <w:tcPr>
            <w:tcW w:w="1446" w:type="dxa"/>
            <w:vAlign w:val="center"/>
          </w:tcPr>
          <w:p w:rsidR="00430C4F" w:rsidRPr="00A77780" w:rsidRDefault="00430C4F" w:rsidP="0043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center"/>
          </w:tcPr>
          <w:p w:rsidR="00430C4F" w:rsidRPr="00A77780" w:rsidRDefault="00430C4F" w:rsidP="00430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7C6A18" w:rsidRPr="00386A06" w:rsidTr="0090425E">
        <w:trPr>
          <w:trHeight w:val="671"/>
        </w:trPr>
        <w:tc>
          <w:tcPr>
            <w:tcW w:w="1702" w:type="dxa"/>
          </w:tcPr>
          <w:p w:rsidR="007C6A18" w:rsidRPr="00FD35CB" w:rsidRDefault="007C6A18" w:rsidP="007C6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5C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2" w:type="dxa"/>
            <w:vAlign w:val="center"/>
          </w:tcPr>
          <w:p w:rsidR="007C6A18" w:rsidRPr="00A77780" w:rsidRDefault="003772FB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194 850,94806</w:t>
            </w:r>
          </w:p>
        </w:tc>
        <w:tc>
          <w:tcPr>
            <w:tcW w:w="1276" w:type="dxa"/>
            <w:vAlign w:val="center"/>
          </w:tcPr>
          <w:p w:rsidR="007C6A18" w:rsidRPr="00A77780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vAlign w:val="center"/>
          </w:tcPr>
          <w:p w:rsidR="007C6A18" w:rsidRPr="00A77780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7 549,88500</w:t>
            </w:r>
          </w:p>
        </w:tc>
        <w:tc>
          <w:tcPr>
            <w:tcW w:w="1560" w:type="dxa"/>
            <w:vAlign w:val="center"/>
          </w:tcPr>
          <w:p w:rsidR="007C6A18" w:rsidRPr="00A77780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40 453,65515</w:t>
            </w:r>
          </w:p>
        </w:tc>
        <w:tc>
          <w:tcPr>
            <w:tcW w:w="1446" w:type="dxa"/>
            <w:vAlign w:val="center"/>
          </w:tcPr>
          <w:p w:rsidR="007C6A18" w:rsidRPr="00A77780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146 847,40791</w:t>
            </w:r>
          </w:p>
        </w:tc>
        <w:tc>
          <w:tcPr>
            <w:tcW w:w="1134" w:type="dxa"/>
            <w:vAlign w:val="center"/>
          </w:tcPr>
          <w:p w:rsidR="007C6A18" w:rsidRPr="00A77780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77780" w:rsidRPr="00A77780" w:rsidTr="0090425E">
        <w:trPr>
          <w:trHeight w:val="345"/>
        </w:trPr>
        <w:tc>
          <w:tcPr>
            <w:tcW w:w="1702" w:type="dxa"/>
          </w:tcPr>
          <w:p w:rsidR="007C6A18" w:rsidRPr="00A77780" w:rsidRDefault="007C6A18" w:rsidP="007C6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7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842" w:type="dxa"/>
            <w:vAlign w:val="center"/>
          </w:tcPr>
          <w:p w:rsidR="007C6A18" w:rsidRPr="00EC7BA0" w:rsidRDefault="00EC7BA0" w:rsidP="00375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A0">
              <w:rPr>
                <w:rFonts w:ascii="Times New Roman" w:hAnsi="Times New Roman" w:cs="Times New Roman"/>
                <w:sz w:val="20"/>
                <w:szCs w:val="20"/>
              </w:rPr>
              <w:t>198 775,86831</w:t>
            </w:r>
          </w:p>
        </w:tc>
        <w:tc>
          <w:tcPr>
            <w:tcW w:w="1276" w:type="dxa"/>
            <w:vAlign w:val="center"/>
          </w:tcPr>
          <w:p w:rsidR="007C6A18" w:rsidRPr="00A77780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vAlign w:val="center"/>
          </w:tcPr>
          <w:p w:rsidR="007C6A18" w:rsidRPr="00A77780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36 078,89750</w:t>
            </w:r>
          </w:p>
        </w:tc>
        <w:tc>
          <w:tcPr>
            <w:tcW w:w="1560" w:type="dxa"/>
            <w:vAlign w:val="center"/>
          </w:tcPr>
          <w:p w:rsidR="007C6A18" w:rsidRPr="00EC7BA0" w:rsidRDefault="000A6AC7" w:rsidP="00375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A0">
              <w:rPr>
                <w:rFonts w:ascii="Times New Roman" w:hAnsi="Times New Roman" w:cs="Times New Roman"/>
                <w:sz w:val="20"/>
                <w:szCs w:val="20"/>
              </w:rPr>
              <w:t>75 337,98652</w:t>
            </w:r>
          </w:p>
        </w:tc>
        <w:tc>
          <w:tcPr>
            <w:tcW w:w="1446" w:type="dxa"/>
            <w:vAlign w:val="center"/>
          </w:tcPr>
          <w:p w:rsidR="007C6A18" w:rsidRPr="00A77780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87 358,98429</w:t>
            </w:r>
          </w:p>
        </w:tc>
        <w:tc>
          <w:tcPr>
            <w:tcW w:w="1134" w:type="dxa"/>
            <w:vAlign w:val="center"/>
          </w:tcPr>
          <w:p w:rsidR="007C6A18" w:rsidRPr="00A77780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77780" w:rsidRPr="00A77780" w:rsidTr="007C6A18">
        <w:trPr>
          <w:trHeight w:val="703"/>
        </w:trPr>
        <w:tc>
          <w:tcPr>
            <w:tcW w:w="1702" w:type="dxa"/>
            <w:vAlign w:val="center"/>
          </w:tcPr>
          <w:p w:rsidR="007C6A18" w:rsidRPr="00A77780" w:rsidRDefault="007C6A18" w:rsidP="007C6A18">
            <w:pPr>
              <w:pStyle w:val="ConsPlusNormal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A77780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842" w:type="dxa"/>
            <w:vAlign w:val="center"/>
          </w:tcPr>
          <w:p w:rsidR="007C6A18" w:rsidRPr="00A77780" w:rsidRDefault="00EC7BA0" w:rsidP="0060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A0">
              <w:rPr>
                <w:rFonts w:ascii="Times New Roman" w:hAnsi="Times New Roman" w:cs="Times New Roman"/>
                <w:sz w:val="20"/>
                <w:szCs w:val="20"/>
              </w:rPr>
              <w:t>580 458,80868</w:t>
            </w:r>
          </w:p>
        </w:tc>
        <w:tc>
          <w:tcPr>
            <w:tcW w:w="1276" w:type="dxa"/>
            <w:vAlign w:val="center"/>
          </w:tcPr>
          <w:p w:rsidR="007C6A18" w:rsidRPr="00A77780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vAlign w:val="center"/>
          </w:tcPr>
          <w:p w:rsidR="007C6A18" w:rsidRPr="00A77780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79 868,23050</w:t>
            </w:r>
          </w:p>
        </w:tc>
        <w:tc>
          <w:tcPr>
            <w:tcW w:w="1560" w:type="dxa"/>
            <w:vAlign w:val="center"/>
          </w:tcPr>
          <w:p w:rsidR="007C6A18" w:rsidRPr="00EC7BA0" w:rsidRDefault="000A6AC7" w:rsidP="0060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A0">
              <w:rPr>
                <w:rFonts w:ascii="Times New Roman" w:hAnsi="Times New Roman" w:cs="Times New Roman"/>
                <w:sz w:val="20"/>
                <w:szCs w:val="20"/>
              </w:rPr>
              <w:t>266 384,18598</w:t>
            </w:r>
          </w:p>
        </w:tc>
        <w:tc>
          <w:tcPr>
            <w:tcW w:w="1446" w:type="dxa"/>
            <w:vAlign w:val="center"/>
          </w:tcPr>
          <w:p w:rsidR="007C6A18" w:rsidRPr="00A77780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234 206,39220</w:t>
            </w:r>
          </w:p>
        </w:tc>
        <w:tc>
          <w:tcPr>
            <w:tcW w:w="1134" w:type="dxa"/>
            <w:vAlign w:val="center"/>
          </w:tcPr>
          <w:p w:rsidR="007C6A18" w:rsidRPr="00A77780" w:rsidRDefault="007C6A18" w:rsidP="007C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</w:tbl>
    <w:p w:rsidR="00BB0DAA" w:rsidRDefault="00665EAA" w:rsidP="00665EAA">
      <w:pPr>
        <w:pStyle w:val="a4"/>
        <w:spacing w:after="0" w:line="240" w:lineRule="auto"/>
        <w:ind w:left="927" w:right="-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77780">
        <w:rPr>
          <w:rFonts w:ascii="Times New Roman" w:hAnsi="Times New Roman" w:cs="Times New Roman"/>
          <w:sz w:val="26"/>
          <w:szCs w:val="26"/>
        </w:rPr>
        <w:t xml:space="preserve"> </w:t>
      </w:r>
      <w:r w:rsidR="00BB0DAA" w:rsidRPr="00A77780">
        <w:rPr>
          <w:rFonts w:ascii="Times New Roman" w:hAnsi="Times New Roman" w:cs="Times New Roman"/>
          <w:sz w:val="26"/>
          <w:szCs w:val="26"/>
        </w:rPr>
        <w:t>»;</w:t>
      </w:r>
    </w:p>
    <w:p w:rsidR="00337F08" w:rsidRPr="00A77780" w:rsidRDefault="00337F08" w:rsidP="00CC6CE5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780">
        <w:rPr>
          <w:rFonts w:ascii="Times New Roman" w:hAnsi="Times New Roman" w:cs="Times New Roman"/>
          <w:sz w:val="26"/>
          <w:szCs w:val="26"/>
        </w:rPr>
        <w:t xml:space="preserve">2) подраздел </w:t>
      </w:r>
      <w:r w:rsidR="008A4F8E" w:rsidRPr="00A77780">
        <w:rPr>
          <w:rFonts w:ascii="Times New Roman" w:hAnsi="Times New Roman" w:cs="Times New Roman"/>
          <w:sz w:val="26"/>
          <w:szCs w:val="26"/>
        </w:rPr>
        <w:t>5</w:t>
      </w:r>
      <w:r w:rsidRPr="00A77780">
        <w:rPr>
          <w:rFonts w:ascii="Times New Roman" w:hAnsi="Times New Roman" w:cs="Times New Roman"/>
          <w:sz w:val="26"/>
          <w:szCs w:val="26"/>
        </w:rPr>
        <w:t xml:space="preserve">.1 раздела </w:t>
      </w:r>
      <w:r w:rsidR="008A4F8E" w:rsidRPr="00A77780">
        <w:rPr>
          <w:rFonts w:ascii="Times New Roman" w:hAnsi="Times New Roman" w:cs="Times New Roman"/>
          <w:sz w:val="26"/>
          <w:szCs w:val="26"/>
        </w:rPr>
        <w:t>5</w:t>
      </w:r>
      <w:r w:rsidRPr="00A77780">
        <w:rPr>
          <w:rFonts w:ascii="Times New Roman" w:hAnsi="Times New Roman" w:cs="Times New Roman"/>
          <w:sz w:val="26"/>
          <w:szCs w:val="26"/>
        </w:rPr>
        <w:t xml:space="preserve"> «Подпрограмма </w:t>
      </w:r>
      <w:r w:rsidR="00CC6CE5" w:rsidRPr="00A77780">
        <w:rPr>
          <w:rFonts w:ascii="Times New Roman" w:hAnsi="Times New Roman" w:cs="Times New Roman"/>
          <w:sz w:val="26"/>
          <w:szCs w:val="26"/>
        </w:rPr>
        <w:t>«</w:t>
      </w:r>
      <w:r w:rsidR="008A4F8E" w:rsidRPr="00A77780">
        <w:rPr>
          <w:rFonts w:ascii="Times New Roman" w:eastAsia="Calibri" w:hAnsi="Times New Roman" w:cs="Times New Roman"/>
          <w:sz w:val="26"/>
          <w:szCs w:val="26"/>
        </w:rPr>
        <w:t>Обеспечение устойчивого сокращения непригодного для проживания жилищного фонда</w:t>
      </w:r>
      <w:r w:rsidR="00CC6CE5" w:rsidRPr="00A77780">
        <w:rPr>
          <w:rFonts w:ascii="Times New Roman" w:hAnsi="Times New Roman" w:cs="Times New Roman"/>
          <w:sz w:val="26"/>
          <w:szCs w:val="26"/>
        </w:rPr>
        <w:t>»</w:t>
      </w:r>
      <w:r w:rsidRPr="00A77780">
        <w:rPr>
          <w:rFonts w:ascii="Times New Roman" w:hAnsi="Times New Roman" w:cs="Times New Roman"/>
          <w:sz w:val="26"/>
          <w:szCs w:val="26"/>
        </w:rPr>
        <w:t xml:space="preserve"> Муниципальной программы изложить в следующей редакции:</w:t>
      </w:r>
    </w:p>
    <w:p w:rsidR="00FD0831" w:rsidRDefault="00FD0831" w:rsidP="00FD0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7F08" w:rsidRDefault="00337F08" w:rsidP="00FD0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7778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A4F8E" w:rsidRPr="00A7778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77780">
        <w:rPr>
          <w:rFonts w:ascii="Times New Roman" w:eastAsia="Times New Roman" w:hAnsi="Times New Roman" w:cs="Times New Roman"/>
          <w:sz w:val="26"/>
          <w:szCs w:val="26"/>
        </w:rPr>
        <w:t xml:space="preserve">.1. Паспорт подпрограммы </w:t>
      </w:r>
      <w:r w:rsidR="00CC6CE5" w:rsidRPr="00A77780">
        <w:rPr>
          <w:rFonts w:ascii="Times New Roman" w:hAnsi="Times New Roman" w:cs="Times New Roman"/>
          <w:sz w:val="26"/>
          <w:szCs w:val="26"/>
        </w:rPr>
        <w:t>«</w:t>
      </w:r>
      <w:r w:rsidR="008A4F8E" w:rsidRPr="00A77780">
        <w:rPr>
          <w:rFonts w:ascii="Times New Roman" w:eastAsia="Calibri" w:hAnsi="Times New Roman" w:cs="Times New Roman"/>
          <w:sz w:val="26"/>
          <w:szCs w:val="26"/>
        </w:rPr>
        <w:t>Обеспечение устойчивого сокращения непригодного для проживания жилищного фонда</w:t>
      </w:r>
      <w:r w:rsidR="00CC6CE5" w:rsidRPr="00A77780">
        <w:rPr>
          <w:rFonts w:ascii="Times New Roman" w:hAnsi="Times New Roman" w:cs="Times New Roman"/>
          <w:sz w:val="26"/>
          <w:szCs w:val="26"/>
        </w:rPr>
        <w:t>»</w:t>
      </w:r>
    </w:p>
    <w:p w:rsidR="00417725" w:rsidRPr="00A77780" w:rsidRDefault="00417725" w:rsidP="00FD08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850"/>
        <w:gridCol w:w="1276"/>
        <w:gridCol w:w="1417"/>
        <w:gridCol w:w="851"/>
        <w:gridCol w:w="850"/>
        <w:gridCol w:w="1418"/>
      </w:tblGrid>
      <w:tr w:rsidR="00A77780" w:rsidRPr="00A77780" w:rsidTr="00B04869">
        <w:tc>
          <w:tcPr>
            <w:tcW w:w="1276" w:type="dxa"/>
            <w:shd w:val="clear" w:color="auto" w:fill="auto"/>
          </w:tcPr>
          <w:p w:rsidR="00212FED" w:rsidRPr="00A77780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</w:t>
            </w:r>
            <w:r w:rsidR="005514A8"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пальный</w:t>
            </w:r>
            <w:proofErr w:type="spellEnd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заказчик </w:t>
            </w:r>
            <w:proofErr w:type="spellStart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</w:t>
            </w:r>
            <w:r w:rsidR="005514A8"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раммы</w:t>
            </w:r>
            <w:proofErr w:type="spellEnd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:rsidR="00212FED" w:rsidRPr="00A77780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Одинцовского городского округа Московской области</w:t>
            </w:r>
          </w:p>
        </w:tc>
      </w:tr>
      <w:tr w:rsidR="00A77780" w:rsidRPr="00A77780" w:rsidTr="00B04869">
        <w:trPr>
          <w:trHeight w:val="420"/>
        </w:trPr>
        <w:tc>
          <w:tcPr>
            <w:tcW w:w="1276" w:type="dxa"/>
            <w:vMerge w:val="restart"/>
            <w:shd w:val="clear" w:color="auto" w:fill="auto"/>
          </w:tcPr>
          <w:p w:rsidR="00212FED" w:rsidRPr="00A77780" w:rsidRDefault="00212FED" w:rsidP="0021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</w:t>
            </w:r>
            <w:r w:rsidR="005514A8"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</w:t>
            </w:r>
            <w:r w:rsidR="005514A8"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раммы</w:t>
            </w:r>
            <w:proofErr w:type="spellEnd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годам реализации и главным </w:t>
            </w:r>
            <w:proofErr w:type="spellStart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</w:t>
            </w:r>
            <w:r w:rsidR="005514A8"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телям</w:t>
            </w:r>
            <w:proofErr w:type="spellEnd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бюджетных средств, 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2FED" w:rsidRPr="00A77780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</w:t>
            </w:r>
            <w:r w:rsidR="005514A8"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2FED" w:rsidRPr="00A77780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212FED" w:rsidRPr="00A77780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A77780" w:rsidRPr="00A77780" w:rsidTr="00B04869">
        <w:trPr>
          <w:trHeight w:val="1154"/>
        </w:trPr>
        <w:tc>
          <w:tcPr>
            <w:tcW w:w="1276" w:type="dxa"/>
            <w:vMerge/>
            <w:shd w:val="clear" w:color="auto" w:fill="auto"/>
          </w:tcPr>
          <w:p w:rsidR="00212FED" w:rsidRPr="00A77780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2FED" w:rsidRPr="00A77780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2FED" w:rsidRPr="00A77780" w:rsidRDefault="00212FED" w:rsidP="00212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2FED" w:rsidRPr="00A77780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FED" w:rsidRPr="00A77780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FED" w:rsidRPr="00A77780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2FED" w:rsidRPr="00A77780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FED" w:rsidRPr="00A77780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2FED" w:rsidRPr="00A77780" w:rsidRDefault="00212FED" w:rsidP="002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A77780" w:rsidRPr="00A77780" w:rsidTr="00FD0831">
        <w:trPr>
          <w:trHeight w:val="649"/>
        </w:trPr>
        <w:tc>
          <w:tcPr>
            <w:tcW w:w="1276" w:type="dxa"/>
            <w:vMerge/>
            <w:shd w:val="clear" w:color="auto" w:fill="auto"/>
          </w:tcPr>
          <w:p w:rsidR="005514A8" w:rsidRPr="00A77780" w:rsidRDefault="005514A8" w:rsidP="00551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514A8" w:rsidRPr="00A77780" w:rsidRDefault="005514A8" w:rsidP="00551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Одинцовс</w:t>
            </w:r>
            <w:proofErr w:type="spellEnd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-кого городско-</w:t>
            </w:r>
          </w:p>
          <w:p w:rsidR="005514A8" w:rsidRPr="00A77780" w:rsidRDefault="005514A8" w:rsidP="00551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5514A8" w:rsidRPr="00A77780" w:rsidRDefault="005514A8" w:rsidP="005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14A8" w:rsidRPr="00C54054" w:rsidRDefault="005514A8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14A8" w:rsidRPr="00C54054" w:rsidRDefault="005514A8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64 042,66400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4A8" w:rsidRPr="00A15527" w:rsidRDefault="00A15527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527">
              <w:rPr>
                <w:rFonts w:ascii="Times New Roman" w:hAnsi="Times New Roman" w:cs="Times New Roman"/>
                <w:sz w:val="18"/>
                <w:szCs w:val="18"/>
              </w:rPr>
              <w:t>266 384,18598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14A8" w:rsidRPr="00A15527" w:rsidRDefault="005514A8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527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14A8" w:rsidRPr="00A15527" w:rsidRDefault="005514A8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527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4A8" w:rsidRPr="00A15527" w:rsidRDefault="00A15527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527">
              <w:rPr>
                <w:rFonts w:ascii="Times New Roman" w:hAnsi="Times New Roman" w:cs="Times New Roman"/>
                <w:sz w:val="18"/>
                <w:szCs w:val="18"/>
              </w:rPr>
              <w:t>330 426,84998</w:t>
            </w:r>
          </w:p>
        </w:tc>
      </w:tr>
      <w:tr w:rsidR="00A77780" w:rsidRPr="00A77780" w:rsidTr="00FD0831">
        <w:trPr>
          <w:trHeight w:val="1409"/>
        </w:trPr>
        <w:tc>
          <w:tcPr>
            <w:tcW w:w="1276" w:type="dxa"/>
            <w:vMerge/>
            <w:shd w:val="clear" w:color="auto" w:fill="auto"/>
          </w:tcPr>
          <w:p w:rsidR="00856913" w:rsidRPr="00A77780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6913" w:rsidRPr="00A77780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6913" w:rsidRPr="00A77780" w:rsidRDefault="00856913" w:rsidP="0085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36 239,44800</w:t>
            </w:r>
          </w:p>
        </w:tc>
        <w:tc>
          <w:tcPr>
            <w:tcW w:w="1417" w:type="dxa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150 592,54431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186 831,99231</w:t>
            </w:r>
          </w:p>
        </w:tc>
      </w:tr>
      <w:tr w:rsidR="00A77780" w:rsidRPr="00A77780" w:rsidTr="00FD0831">
        <w:trPr>
          <w:trHeight w:val="1114"/>
        </w:trPr>
        <w:tc>
          <w:tcPr>
            <w:tcW w:w="1276" w:type="dxa"/>
            <w:vMerge/>
            <w:shd w:val="clear" w:color="auto" w:fill="auto"/>
          </w:tcPr>
          <w:p w:rsidR="00856913" w:rsidRPr="00A77780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6913" w:rsidRPr="00A77780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6913" w:rsidRPr="00A77780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7 549,88500</w:t>
            </w:r>
          </w:p>
        </w:tc>
        <w:tc>
          <w:tcPr>
            <w:tcW w:w="1417" w:type="dxa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40 453,65515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3772FB" w:rsidRPr="00C54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003,54015</w:t>
            </w:r>
          </w:p>
        </w:tc>
      </w:tr>
      <w:tr w:rsidR="00A77780" w:rsidRPr="00A77780" w:rsidTr="00FD0831">
        <w:trPr>
          <w:trHeight w:val="1553"/>
        </w:trPr>
        <w:tc>
          <w:tcPr>
            <w:tcW w:w="1276" w:type="dxa"/>
            <w:vMerge/>
            <w:shd w:val="clear" w:color="auto" w:fill="auto"/>
          </w:tcPr>
          <w:p w:rsidR="00856913" w:rsidRPr="00A77780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6913" w:rsidRPr="00A77780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6913" w:rsidRPr="00A77780" w:rsidRDefault="00856913" w:rsidP="008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бюджета </w:t>
            </w:r>
            <w:proofErr w:type="spellStart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Одинцовс</w:t>
            </w:r>
            <w:proofErr w:type="spellEnd"/>
            <w:r w:rsidRPr="00A77780">
              <w:rPr>
                <w:rFonts w:ascii="Times New Roman" w:eastAsia="Times New Roman" w:hAnsi="Times New Roman" w:cs="Times New Roman"/>
                <w:sz w:val="20"/>
                <w:szCs w:val="20"/>
              </w:rPr>
              <w:t>-кого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913" w:rsidRPr="00C54054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054">
              <w:rPr>
                <w:rFonts w:ascii="Times New Roman" w:hAnsi="Times New Roman" w:cs="Times New Roman"/>
                <w:sz w:val="18"/>
                <w:szCs w:val="18"/>
              </w:rPr>
              <w:t>20 253,33100</w:t>
            </w:r>
          </w:p>
        </w:tc>
        <w:tc>
          <w:tcPr>
            <w:tcW w:w="1417" w:type="dxa"/>
            <w:vAlign w:val="center"/>
          </w:tcPr>
          <w:p w:rsidR="00856913" w:rsidRPr="00A15527" w:rsidRDefault="00A15527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527">
              <w:rPr>
                <w:rFonts w:ascii="Times New Roman" w:hAnsi="Times New Roman" w:cs="Times New Roman"/>
                <w:sz w:val="18"/>
                <w:szCs w:val="18"/>
              </w:rPr>
              <w:t>75 337,98652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6913" w:rsidRPr="00A15527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527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6913" w:rsidRPr="00A15527" w:rsidRDefault="00856913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527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6913" w:rsidRPr="00A15527" w:rsidRDefault="00A15527" w:rsidP="0061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527">
              <w:rPr>
                <w:rFonts w:ascii="Times New Roman" w:hAnsi="Times New Roman" w:cs="Times New Roman"/>
                <w:sz w:val="18"/>
                <w:szCs w:val="18"/>
              </w:rPr>
              <w:t>95 591,31752</w:t>
            </w:r>
          </w:p>
        </w:tc>
      </w:tr>
    </w:tbl>
    <w:p w:rsidR="00337F08" w:rsidRPr="00A77780" w:rsidRDefault="00337F08" w:rsidP="00337F08">
      <w:pPr>
        <w:pStyle w:val="a4"/>
        <w:spacing w:after="0" w:line="240" w:lineRule="auto"/>
        <w:ind w:left="709" w:right="-142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77780">
        <w:rPr>
          <w:rFonts w:ascii="Times New Roman" w:hAnsi="Times New Roman" w:cs="Times New Roman"/>
          <w:sz w:val="26"/>
          <w:szCs w:val="26"/>
        </w:rPr>
        <w:t>»</w:t>
      </w:r>
      <w:r w:rsidR="00F15565">
        <w:rPr>
          <w:rFonts w:ascii="Times New Roman" w:hAnsi="Times New Roman" w:cs="Times New Roman"/>
          <w:sz w:val="26"/>
          <w:szCs w:val="26"/>
        </w:rPr>
        <w:t>;</w:t>
      </w:r>
    </w:p>
    <w:p w:rsidR="00EA430A" w:rsidRDefault="007647EF" w:rsidP="002007CF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C79EF" w:rsidRPr="00581CFA">
        <w:rPr>
          <w:rFonts w:ascii="Times New Roman" w:hAnsi="Times New Roman" w:cs="Times New Roman"/>
          <w:sz w:val="26"/>
          <w:szCs w:val="26"/>
        </w:rPr>
        <w:t>)</w:t>
      </w:r>
      <w:r w:rsidR="006E6ED0" w:rsidRPr="00581CFA">
        <w:rPr>
          <w:rFonts w:ascii="Times New Roman" w:hAnsi="Times New Roman" w:cs="Times New Roman"/>
          <w:sz w:val="26"/>
          <w:szCs w:val="26"/>
        </w:rPr>
        <w:t xml:space="preserve"> </w:t>
      </w:r>
      <w:r w:rsidR="00D5633F" w:rsidRPr="00581CFA">
        <w:rPr>
          <w:rFonts w:ascii="Times New Roman" w:hAnsi="Times New Roman" w:cs="Times New Roman"/>
          <w:sz w:val="26"/>
          <w:szCs w:val="26"/>
        </w:rPr>
        <w:t>п</w:t>
      </w:r>
      <w:r w:rsidR="00EA430A" w:rsidRPr="00581CFA">
        <w:rPr>
          <w:rFonts w:ascii="Times New Roman" w:hAnsi="Times New Roman" w:cs="Times New Roman"/>
          <w:sz w:val="26"/>
          <w:szCs w:val="26"/>
        </w:rPr>
        <w:t xml:space="preserve">риложение 1 к Муниципальной программе изложить в редакции согласно </w:t>
      </w:r>
      <w:proofErr w:type="gramStart"/>
      <w:r w:rsidR="00356D51">
        <w:rPr>
          <w:rFonts w:ascii="Times New Roman" w:hAnsi="Times New Roman" w:cs="Times New Roman"/>
          <w:sz w:val="26"/>
          <w:szCs w:val="26"/>
        </w:rPr>
        <w:t>п</w:t>
      </w:r>
      <w:r w:rsidR="00EA430A" w:rsidRPr="00581CFA">
        <w:rPr>
          <w:rFonts w:ascii="Times New Roman" w:hAnsi="Times New Roman" w:cs="Times New Roman"/>
          <w:sz w:val="26"/>
          <w:szCs w:val="26"/>
        </w:rPr>
        <w:t>риложению</w:t>
      </w:r>
      <w:proofErr w:type="gramEnd"/>
      <w:r w:rsidR="00C26EF4" w:rsidRPr="00B04E62">
        <w:rPr>
          <w:rFonts w:ascii="Times New Roman" w:hAnsi="Times New Roman" w:cs="Times New Roman"/>
          <w:sz w:val="26"/>
          <w:szCs w:val="26"/>
        </w:rPr>
        <w:t xml:space="preserve"> </w:t>
      </w:r>
      <w:r w:rsidR="00EA430A" w:rsidRPr="00581CFA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AE3364">
        <w:rPr>
          <w:rFonts w:ascii="Times New Roman" w:hAnsi="Times New Roman" w:cs="Times New Roman"/>
          <w:sz w:val="26"/>
          <w:szCs w:val="26"/>
        </w:rPr>
        <w:t>.</w:t>
      </w:r>
    </w:p>
    <w:p w:rsidR="00FD00C4" w:rsidRPr="00581CFA" w:rsidRDefault="00FD00C4" w:rsidP="00FD00C4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CFA">
        <w:rPr>
          <w:rFonts w:ascii="Times New Roman" w:hAnsi="Times New Roman" w:cs="Times New Roman"/>
          <w:sz w:val="26"/>
          <w:szCs w:val="26"/>
        </w:rPr>
        <w:t xml:space="preserve">2. </w:t>
      </w:r>
      <w:r w:rsidRPr="00581CFA">
        <w:rPr>
          <w:rFonts w:ascii="Times New Roman" w:eastAsia="Arial" w:hAnsi="Times New Roman" w:cs="Times New Roman"/>
          <w:sz w:val="26"/>
          <w:szCs w:val="26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FD00C4" w:rsidRPr="00581CFA" w:rsidRDefault="00FD00C4" w:rsidP="00FD00C4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1CFA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</w:t>
      </w:r>
      <w:r w:rsidR="00FD0831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581CFA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BB0DAA" w:rsidRDefault="00BB0DAA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A620E" w:rsidRPr="00581CFA" w:rsidRDefault="00DA620E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C4FBC" w:rsidRPr="00581CFA" w:rsidRDefault="00BB0DAA" w:rsidP="004E13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CFA">
        <w:rPr>
          <w:rFonts w:ascii="Times New Roman" w:hAnsi="Times New Roman" w:cs="Times New Roman"/>
          <w:sz w:val="26"/>
          <w:szCs w:val="26"/>
        </w:rPr>
        <w:t>Глава Одинцовского городского округа</w:t>
      </w:r>
      <w:r w:rsidR="00FF079F" w:rsidRPr="00581CFA">
        <w:rPr>
          <w:rFonts w:ascii="Times New Roman" w:hAnsi="Times New Roman" w:cs="Times New Roman"/>
          <w:sz w:val="26"/>
          <w:szCs w:val="26"/>
        </w:rPr>
        <w:tab/>
      </w:r>
      <w:r w:rsidR="00FF079F" w:rsidRPr="00581CFA">
        <w:rPr>
          <w:rFonts w:ascii="Times New Roman" w:hAnsi="Times New Roman" w:cs="Times New Roman"/>
          <w:sz w:val="26"/>
          <w:szCs w:val="26"/>
        </w:rPr>
        <w:tab/>
      </w:r>
      <w:r w:rsidR="00FF079F" w:rsidRPr="00581CFA">
        <w:rPr>
          <w:rFonts w:ascii="Times New Roman" w:hAnsi="Times New Roman" w:cs="Times New Roman"/>
          <w:sz w:val="26"/>
          <w:szCs w:val="26"/>
        </w:rPr>
        <w:tab/>
      </w:r>
      <w:r w:rsidR="00FF079F" w:rsidRPr="00581CFA">
        <w:rPr>
          <w:rFonts w:ascii="Times New Roman" w:hAnsi="Times New Roman" w:cs="Times New Roman"/>
          <w:sz w:val="26"/>
          <w:szCs w:val="26"/>
        </w:rPr>
        <w:tab/>
      </w:r>
      <w:r w:rsidR="00FF079F" w:rsidRPr="00581CF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4E13E5" w:rsidRPr="00581CFA">
        <w:rPr>
          <w:rFonts w:ascii="Times New Roman" w:hAnsi="Times New Roman" w:cs="Times New Roman"/>
          <w:sz w:val="26"/>
          <w:szCs w:val="26"/>
        </w:rPr>
        <w:t xml:space="preserve">  </w:t>
      </w:r>
      <w:r w:rsidR="00435810" w:rsidRPr="00581CFA">
        <w:rPr>
          <w:rFonts w:ascii="Times New Roman" w:hAnsi="Times New Roman" w:cs="Times New Roman"/>
          <w:sz w:val="26"/>
          <w:szCs w:val="26"/>
        </w:rPr>
        <w:t xml:space="preserve">  </w:t>
      </w:r>
      <w:r w:rsidRPr="00581CFA">
        <w:rPr>
          <w:rFonts w:ascii="Times New Roman" w:hAnsi="Times New Roman" w:cs="Times New Roman"/>
          <w:sz w:val="26"/>
          <w:szCs w:val="26"/>
        </w:rPr>
        <w:t>А.Р. Иванов</w:t>
      </w:r>
    </w:p>
    <w:p w:rsidR="006F1DA0" w:rsidRPr="004B4407" w:rsidRDefault="005E7736" w:rsidP="006F1DA0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zh-CN"/>
        </w:rPr>
        <w:t>С</w:t>
      </w:r>
      <w:r w:rsidR="006F1DA0" w:rsidRPr="004B4407">
        <w:rPr>
          <w:rFonts w:ascii="Times New Roman" w:eastAsia="Calibri" w:hAnsi="Times New Roman" w:cs="Times New Roman"/>
          <w:sz w:val="26"/>
          <w:szCs w:val="26"/>
          <w:lang w:eastAsia="zh-CN"/>
        </w:rPr>
        <w:t>ОГЛАСОВАНО</w:t>
      </w:r>
    </w:p>
    <w:tbl>
      <w:tblPr>
        <w:tblStyle w:val="1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6F1DA0" w:rsidRPr="004B4407" w:rsidTr="005A33C9">
        <w:tc>
          <w:tcPr>
            <w:tcW w:w="7650" w:type="dxa"/>
          </w:tcPr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 xml:space="preserve">Первый заместитель 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Главы Администрации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  <w:tc>
          <w:tcPr>
            <w:tcW w:w="2410" w:type="dxa"/>
          </w:tcPr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 xml:space="preserve">М.А. </w:t>
            </w:r>
            <w:proofErr w:type="spellStart"/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Пайсов</w:t>
            </w:r>
            <w:proofErr w:type="spellEnd"/>
          </w:p>
        </w:tc>
      </w:tr>
      <w:tr w:rsidR="006F1DA0" w:rsidRPr="004B4407" w:rsidTr="005A33C9">
        <w:trPr>
          <w:trHeight w:val="846"/>
        </w:trPr>
        <w:tc>
          <w:tcPr>
            <w:tcW w:w="7650" w:type="dxa"/>
          </w:tcPr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Заместитель Главы Администрации –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начальник Финансово-казначейского Управления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  <w:tc>
          <w:tcPr>
            <w:tcW w:w="2410" w:type="dxa"/>
          </w:tcPr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6"/>
                <w:szCs w:val="26"/>
                <w:lang w:eastAsia="x-none"/>
              </w:rPr>
            </w:pPr>
          </w:p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Л.В. Тарасова</w:t>
            </w:r>
          </w:p>
        </w:tc>
      </w:tr>
      <w:tr w:rsidR="006F1DA0" w:rsidRPr="004B4407" w:rsidTr="005A33C9">
        <w:tc>
          <w:tcPr>
            <w:tcW w:w="7650" w:type="dxa"/>
          </w:tcPr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Заместитель Главы Администрации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  <w:tc>
          <w:tcPr>
            <w:tcW w:w="2410" w:type="dxa"/>
          </w:tcPr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П.В. Кондрацкий</w:t>
            </w:r>
          </w:p>
        </w:tc>
      </w:tr>
      <w:tr w:rsidR="006F1DA0" w:rsidRPr="004B4407" w:rsidTr="005A33C9">
        <w:tc>
          <w:tcPr>
            <w:tcW w:w="7650" w:type="dxa"/>
          </w:tcPr>
          <w:p w:rsidR="006F1DA0" w:rsidRPr="004B4407" w:rsidRDefault="001405BD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>
              <w:rPr>
                <w:rFonts w:eastAsia="Times New Roman"/>
                <w:sz w:val="26"/>
                <w:szCs w:val="26"/>
                <w:lang w:eastAsia="x-none"/>
              </w:rPr>
              <w:t>На</w:t>
            </w: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чальник Управления</w:t>
            </w:r>
            <w:r w:rsidR="006F1DA0" w:rsidRPr="004B4407">
              <w:rPr>
                <w:rFonts w:eastAsia="Times New Roman"/>
                <w:sz w:val="26"/>
                <w:szCs w:val="26"/>
                <w:lang w:eastAsia="x-none"/>
              </w:rPr>
              <w:t xml:space="preserve">                                                 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>правового обеспечения</w:t>
            </w:r>
          </w:p>
          <w:p w:rsidR="006F1DA0" w:rsidRPr="004B4407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4B4407">
              <w:rPr>
                <w:rFonts w:eastAsia="Times New Roman"/>
                <w:sz w:val="26"/>
                <w:szCs w:val="26"/>
                <w:lang w:eastAsia="x-none"/>
              </w:rPr>
              <w:t xml:space="preserve">                                                                                     </w:t>
            </w:r>
          </w:p>
        </w:tc>
        <w:tc>
          <w:tcPr>
            <w:tcW w:w="2410" w:type="dxa"/>
          </w:tcPr>
          <w:p w:rsidR="006F1DA0" w:rsidRPr="004B4407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6"/>
                <w:szCs w:val="26"/>
                <w:lang w:eastAsia="x-none"/>
              </w:rPr>
            </w:pPr>
          </w:p>
          <w:p w:rsidR="006F1DA0" w:rsidRPr="004B4407" w:rsidRDefault="001405BD" w:rsidP="00FD0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sz w:val="26"/>
                <w:szCs w:val="26"/>
                <w:lang w:eastAsia="x-none"/>
              </w:rPr>
              <w:t>Г.В. Варварина</w:t>
            </w:r>
          </w:p>
        </w:tc>
      </w:tr>
    </w:tbl>
    <w:p w:rsidR="00E91DC7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B440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:rsidR="00E91DC7" w:rsidRDefault="00E91DC7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F1DA0" w:rsidRPr="004B4407" w:rsidRDefault="00E91DC7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6F1DA0" w:rsidRPr="004B4407">
        <w:rPr>
          <w:rFonts w:ascii="Times New Roman" w:eastAsia="Calibri" w:hAnsi="Times New Roman" w:cs="Times New Roman"/>
          <w:sz w:val="26"/>
          <w:szCs w:val="26"/>
          <w:lang w:eastAsia="zh-CN"/>
        </w:rPr>
        <w:t>Расчет рассылки: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4"/>
        <w:gridCol w:w="1595"/>
      </w:tblGrid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по инвестициям и поддержке предпринимательства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жилищных отношений</w:t>
            </w:r>
          </w:p>
          <w:p w:rsidR="001F4349" w:rsidRPr="002B782E" w:rsidRDefault="001F4349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Управление жилищно-коммунального хозяйства</w:t>
            </w:r>
          </w:p>
        </w:tc>
        <w:tc>
          <w:tcPr>
            <w:tcW w:w="1595" w:type="dxa"/>
          </w:tcPr>
          <w:p w:rsidR="001F4349" w:rsidRDefault="006F1DA0" w:rsidP="001F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1F4349">
              <w:rPr>
                <w:rFonts w:eastAsia="Calibri"/>
                <w:sz w:val="24"/>
                <w:szCs w:val="24"/>
                <w:lang w:eastAsia="zh-CN"/>
              </w:rPr>
              <w:t>2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  <w:p w:rsidR="001F4349" w:rsidRPr="002B782E" w:rsidRDefault="001F4349" w:rsidP="001F43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градостроительной деятельности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капитального строительства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1F4349">
        <w:tc>
          <w:tcPr>
            <w:tcW w:w="7934" w:type="dxa"/>
          </w:tcPr>
          <w:p w:rsidR="006F1DA0" w:rsidRPr="002B782E" w:rsidRDefault="006F1DA0" w:rsidP="00D96F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делами  (сайт)</w:t>
            </w:r>
          </w:p>
        </w:tc>
        <w:tc>
          <w:tcPr>
            <w:tcW w:w="1595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</w:tbl>
    <w:p w:rsidR="006E204D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6E204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:rsidR="006E204D" w:rsidRDefault="006E204D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:rsidR="006F1DA0" w:rsidRPr="002B782E" w:rsidRDefault="006E204D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6F1DA0"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>Исп.: Медникова А.Я.</w:t>
      </w:r>
    </w:p>
    <w:p w:rsidR="00DB68FE" w:rsidRPr="00E95BB9" w:rsidRDefault="006F1DA0" w:rsidP="006F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Тел.: 8 (495) 596-43-80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>общего отдела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proofErr w:type="gramStart"/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  <w:proofErr w:type="gramEnd"/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: начальник общего отдела</w:t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</w:t>
      </w:r>
      <w:r w:rsidR="004E13E5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Е.П. Кочеткова</w:t>
      </w:r>
    </w:p>
    <w:sectPr w:rsidR="00DB68FE" w:rsidRPr="00E95BB9" w:rsidSect="00FE3C6D">
      <w:headerReference w:type="default" r:id="rId8"/>
      <w:pgSz w:w="11906" w:h="16838" w:code="9"/>
      <w:pgMar w:top="1134" w:right="851" w:bottom="567" w:left="1418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F2" w:rsidRDefault="004235F2" w:rsidP="00862ED8">
      <w:pPr>
        <w:spacing w:after="0" w:line="240" w:lineRule="auto"/>
      </w:pPr>
      <w:r>
        <w:separator/>
      </w:r>
    </w:p>
  </w:endnote>
  <w:endnote w:type="continuationSeparator" w:id="0">
    <w:p w:rsidR="004235F2" w:rsidRDefault="004235F2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F2" w:rsidRDefault="004235F2" w:rsidP="00862ED8">
      <w:pPr>
        <w:spacing w:after="0" w:line="240" w:lineRule="auto"/>
      </w:pPr>
      <w:r>
        <w:separator/>
      </w:r>
    </w:p>
  </w:footnote>
  <w:footnote w:type="continuationSeparator" w:id="0">
    <w:p w:rsidR="004235F2" w:rsidRDefault="004235F2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83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D27D45" w:rsidRPr="00C930AA" w:rsidRDefault="00D27D45">
        <w:pPr>
          <w:pStyle w:val="a9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C930AA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C930AA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C930AA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5E7736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3</w:t>
        </w:r>
        <w:r w:rsidRPr="00C930AA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 w15:restartNumberingAfterBreak="0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 w15:restartNumberingAfterBreak="0">
    <w:nsid w:val="2D56700E"/>
    <w:multiLevelType w:val="hybridMultilevel"/>
    <w:tmpl w:val="1962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72002"/>
    <w:multiLevelType w:val="hybridMultilevel"/>
    <w:tmpl w:val="54B4F9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4F9C4C0D"/>
    <w:multiLevelType w:val="hybridMultilevel"/>
    <w:tmpl w:val="946C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7" w15:restartNumberingAfterBreak="0">
    <w:nsid w:val="63520B48"/>
    <w:multiLevelType w:val="hybridMultilevel"/>
    <w:tmpl w:val="165E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F"/>
    <w:rsid w:val="00005DE1"/>
    <w:rsid w:val="00010671"/>
    <w:rsid w:val="00015CA3"/>
    <w:rsid w:val="0001703F"/>
    <w:rsid w:val="0002055B"/>
    <w:rsid w:val="00020A0A"/>
    <w:rsid w:val="0003509B"/>
    <w:rsid w:val="00037752"/>
    <w:rsid w:val="00052300"/>
    <w:rsid w:val="000527D3"/>
    <w:rsid w:val="00054982"/>
    <w:rsid w:val="00056144"/>
    <w:rsid w:val="000629C4"/>
    <w:rsid w:val="00064C15"/>
    <w:rsid w:val="00070D83"/>
    <w:rsid w:val="00074384"/>
    <w:rsid w:val="00074FBA"/>
    <w:rsid w:val="00077A41"/>
    <w:rsid w:val="00080FB4"/>
    <w:rsid w:val="00084489"/>
    <w:rsid w:val="00085848"/>
    <w:rsid w:val="00090E9A"/>
    <w:rsid w:val="00091317"/>
    <w:rsid w:val="00095C3D"/>
    <w:rsid w:val="00096686"/>
    <w:rsid w:val="000A038F"/>
    <w:rsid w:val="000A0C4F"/>
    <w:rsid w:val="000A68FE"/>
    <w:rsid w:val="000A6AC7"/>
    <w:rsid w:val="000A7BF9"/>
    <w:rsid w:val="000B0D96"/>
    <w:rsid w:val="000B4363"/>
    <w:rsid w:val="000B5062"/>
    <w:rsid w:val="000C2ABE"/>
    <w:rsid w:val="000D46D6"/>
    <w:rsid w:val="000E0890"/>
    <w:rsid w:val="000E42BA"/>
    <w:rsid w:val="000E4FFD"/>
    <w:rsid w:val="000E66EB"/>
    <w:rsid w:val="000F0CAA"/>
    <w:rsid w:val="00105576"/>
    <w:rsid w:val="0010748F"/>
    <w:rsid w:val="00114A52"/>
    <w:rsid w:val="001220B5"/>
    <w:rsid w:val="001233E5"/>
    <w:rsid w:val="0012423D"/>
    <w:rsid w:val="00124423"/>
    <w:rsid w:val="00127A03"/>
    <w:rsid w:val="00127C1E"/>
    <w:rsid w:val="00130887"/>
    <w:rsid w:val="00132E34"/>
    <w:rsid w:val="00133F93"/>
    <w:rsid w:val="00134184"/>
    <w:rsid w:val="001345E8"/>
    <w:rsid w:val="0013741A"/>
    <w:rsid w:val="00137E91"/>
    <w:rsid w:val="00140236"/>
    <w:rsid w:val="001405BD"/>
    <w:rsid w:val="00140B98"/>
    <w:rsid w:val="001410D4"/>
    <w:rsid w:val="001527E7"/>
    <w:rsid w:val="00153241"/>
    <w:rsid w:val="00153CAD"/>
    <w:rsid w:val="00157117"/>
    <w:rsid w:val="00162886"/>
    <w:rsid w:val="0016659F"/>
    <w:rsid w:val="00170367"/>
    <w:rsid w:val="00176942"/>
    <w:rsid w:val="0018000E"/>
    <w:rsid w:val="0019177F"/>
    <w:rsid w:val="001A3466"/>
    <w:rsid w:val="001A5289"/>
    <w:rsid w:val="001A5564"/>
    <w:rsid w:val="001A714D"/>
    <w:rsid w:val="001B5912"/>
    <w:rsid w:val="001B6971"/>
    <w:rsid w:val="001E18C8"/>
    <w:rsid w:val="001F4349"/>
    <w:rsid w:val="002007CF"/>
    <w:rsid w:val="002040B1"/>
    <w:rsid w:val="002042DB"/>
    <w:rsid w:val="00212FED"/>
    <w:rsid w:val="002250C6"/>
    <w:rsid w:val="002331C1"/>
    <w:rsid w:val="00234AD7"/>
    <w:rsid w:val="00250DAB"/>
    <w:rsid w:val="00250E2B"/>
    <w:rsid w:val="00254976"/>
    <w:rsid w:val="00255415"/>
    <w:rsid w:val="002574C6"/>
    <w:rsid w:val="0026288E"/>
    <w:rsid w:val="00265DB9"/>
    <w:rsid w:val="00265E83"/>
    <w:rsid w:val="0027221F"/>
    <w:rsid w:val="002815DF"/>
    <w:rsid w:val="00286661"/>
    <w:rsid w:val="00291BF9"/>
    <w:rsid w:val="00294B21"/>
    <w:rsid w:val="0029732A"/>
    <w:rsid w:val="002A1FF3"/>
    <w:rsid w:val="002A2836"/>
    <w:rsid w:val="002A5CF6"/>
    <w:rsid w:val="002B4C7C"/>
    <w:rsid w:val="002B63B9"/>
    <w:rsid w:val="002C3D48"/>
    <w:rsid w:val="002C5C00"/>
    <w:rsid w:val="002D0755"/>
    <w:rsid w:val="002D4CC1"/>
    <w:rsid w:val="002F5D2B"/>
    <w:rsid w:val="002F600C"/>
    <w:rsid w:val="00300257"/>
    <w:rsid w:val="00300799"/>
    <w:rsid w:val="00302856"/>
    <w:rsid w:val="00306F32"/>
    <w:rsid w:val="00307088"/>
    <w:rsid w:val="00314599"/>
    <w:rsid w:val="003314A7"/>
    <w:rsid w:val="0033343F"/>
    <w:rsid w:val="00335571"/>
    <w:rsid w:val="00335FB3"/>
    <w:rsid w:val="00337F08"/>
    <w:rsid w:val="003400E1"/>
    <w:rsid w:val="0034310A"/>
    <w:rsid w:val="003467C7"/>
    <w:rsid w:val="003507CE"/>
    <w:rsid w:val="003560A8"/>
    <w:rsid w:val="003566FE"/>
    <w:rsid w:val="00356D51"/>
    <w:rsid w:val="003605CF"/>
    <w:rsid w:val="00375E4F"/>
    <w:rsid w:val="003772FB"/>
    <w:rsid w:val="00382AF8"/>
    <w:rsid w:val="003836EA"/>
    <w:rsid w:val="00384346"/>
    <w:rsid w:val="00386A06"/>
    <w:rsid w:val="003936F5"/>
    <w:rsid w:val="0039520F"/>
    <w:rsid w:val="00396CC6"/>
    <w:rsid w:val="003A7E9F"/>
    <w:rsid w:val="003B0F61"/>
    <w:rsid w:val="003B39D7"/>
    <w:rsid w:val="003D39AA"/>
    <w:rsid w:val="003D6711"/>
    <w:rsid w:val="003F1431"/>
    <w:rsid w:val="003F5855"/>
    <w:rsid w:val="00400159"/>
    <w:rsid w:val="004029A6"/>
    <w:rsid w:val="00410B45"/>
    <w:rsid w:val="004125DA"/>
    <w:rsid w:val="00412615"/>
    <w:rsid w:val="004141B8"/>
    <w:rsid w:val="00417725"/>
    <w:rsid w:val="004235F2"/>
    <w:rsid w:val="00430C4F"/>
    <w:rsid w:val="0043238A"/>
    <w:rsid w:val="00434378"/>
    <w:rsid w:val="00435810"/>
    <w:rsid w:val="004369A8"/>
    <w:rsid w:val="00443622"/>
    <w:rsid w:val="00447E3D"/>
    <w:rsid w:val="00460732"/>
    <w:rsid w:val="00465F15"/>
    <w:rsid w:val="00472260"/>
    <w:rsid w:val="004757F8"/>
    <w:rsid w:val="004852F0"/>
    <w:rsid w:val="00487478"/>
    <w:rsid w:val="00491E06"/>
    <w:rsid w:val="00495BBC"/>
    <w:rsid w:val="00497322"/>
    <w:rsid w:val="004A6A74"/>
    <w:rsid w:val="004B16FC"/>
    <w:rsid w:val="004B201D"/>
    <w:rsid w:val="004B3544"/>
    <w:rsid w:val="004B4407"/>
    <w:rsid w:val="004B552E"/>
    <w:rsid w:val="004C3586"/>
    <w:rsid w:val="004C38B2"/>
    <w:rsid w:val="004C755C"/>
    <w:rsid w:val="004D31DD"/>
    <w:rsid w:val="004D4D6C"/>
    <w:rsid w:val="004D5C54"/>
    <w:rsid w:val="004D5FC1"/>
    <w:rsid w:val="004D7291"/>
    <w:rsid w:val="004E13E5"/>
    <w:rsid w:val="004E176B"/>
    <w:rsid w:val="004E5818"/>
    <w:rsid w:val="004E5E2D"/>
    <w:rsid w:val="00503E14"/>
    <w:rsid w:val="0050557C"/>
    <w:rsid w:val="00505F4B"/>
    <w:rsid w:val="00507E7C"/>
    <w:rsid w:val="005134E1"/>
    <w:rsid w:val="005140C5"/>
    <w:rsid w:val="00516B85"/>
    <w:rsid w:val="00517087"/>
    <w:rsid w:val="00517C0B"/>
    <w:rsid w:val="00523727"/>
    <w:rsid w:val="00524A18"/>
    <w:rsid w:val="00526F0E"/>
    <w:rsid w:val="00530063"/>
    <w:rsid w:val="00533430"/>
    <w:rsid w:val="00534186"/>
    <w:rsid w:val="00536032"/>
    <w:rsid w:val="005411F4"/>
    <w:rsid w:val="00544543"/>
    <w:rsid w:val="00551141"/>
    <w:rsid w:val="005514A8"/>
    <w:rsid w:val="00554569"/>
    <w:rsid w:val="0056062B"/>
    <w:rsid w:val="00566226"/>
    <w:rsid w:val="0057168F"/>
    <w:rsid w:val="005738FD"/>
    <w:rsid w:val="00573E65"/>
    <w:rsid w:val="00581CFA"/>
    <w:rsid w:val="00586D4D"/>
    <w:rsid w:val="005914FD"/>
    <w:rsid w:val="00597F9D"/>
    <w:rsid w:val="005A1FEB"/>
    <w:rsid w:val="005A33C9"/>
    <w:rsid w:val="005B5543"/>
    <w:rsid w:val="005C05A3"/>
    <w:rsid w:val="005C79EF"/>
    <w:rsid w:val="005D11F1"/>
    <w:rsid w:val="005D1F09"/>
    <w:rsid w:val="005D5C82"/>
    <w:rsid w:val="005E36D9"/>
    <w:rsid w:val="005E7736"/>
    <w:rsid w:val="005F372D"/>
    <w:rsid w:val="005F38AE"/>
    <w:rsid w:val="005F60C0"/>
    <w:rsid w:val="005F7B9D"/>
    <w:rsid w:val="0060270A"/>
    <w:rsid w:val="00610706"/>
    <w:rsid w:val="006127CB"/>
    <w:rsid w:val="006135C9"/>
    <w:rsid w:val="00621210"/>
    <w:rsid w:val="00627AEC"/>
    <w:rsid w:val="00627F7F"/>
    <w:rsid w:val="00630F17"/>
    <w:rsid w:val="00631927"/>
    <w:rsid w:val="00637872"/>
    <w:rsid w:val="006524E6"/>
    <w:rsid w:val="0065387B"/>
    <w:rsid w:val="006614B1"/>
    <w:rsid w:val="006616FF"/>
    <w:rsid w:val="006659A9"/>
    <w:rsid w:val="00665EAA"/>
    <w:rsid w:val="00671A35"/>
    <w:rsid w:val="00675096"/>
    <w:rsid w:val="00676221"/>
    <w:rsid w:val="00676407"/>
    <w:rsid w:val="00684AB8"/>
    <w:rsid w:val="00685145"/>
    <w:rsid w:val="00694754"/>
    <w:rsid w:val="006A512D"/>
    <w:rsid w:val="006B13E9"/>
    <w:rsid w:val="006B1474"/>
    <w:rsid w:val="006B421D"/>
    <w:rsid w:val="006C111D"/>
    <w:rsid w:val="006D0B61"/>
    <w:rsid w:val="006D2CB5"/>
    <w:rsid w:val="006E204D"/>
    <w:rsid w:val="006E6ED0"/>
    <w:rsid w:val="006F1DA0"/>
    <w:rsid w:val="006F25C3"/>
    <w:rsid w:val="006F5EA3"/>
    <w:rsid w:val="00703506"/>
    <w:rsid w:val="00705F06"/>
    <w:rsid w:val="00706A20"/>
    <w:rsid w:val="00707E7D"/>
    <w:rsid w:val="0071310D"/>
    <w:rsid w:val="0072505D"/>
    <w:rsid w:val="0074045F"/>
    <w:rsid w:val="00745662"/>
    <w:rsid w:val="007500A1"/>
    <w:rsid w:val="00753074"/>
    <w:rsid w:val="007545E8"/>
    <w:rsid w:val="007617F5"/>
    <w:rsid w:val="007647EF"/>
    <w:rsid w:val="00770C79"/>
    <w:rsid w:val="007739BE"/>
    <w:rsid w:val="0077703B"/>
    <w:rsid w:val="007847D2"/>
    <w:rsid w:val="0079077F"/>
    <w:rsid w:val="00790780"/>
    <w:rsid w:val="00792187"/>
    <w:rsid w:val="00794221"/>
    <w:rsid w:val="00797416"/>
    <w:rsid w:val="007A0851"/>
    <w:rsid w:val="007A21BE"/>
    <w:rsid w:val="007A50A1"/>
    <w:rsid w:val="007B07A9"/>
    <w:rsid w:val="007B6564"/>
    <w:rsid w:val="007B6A6A"/>
    <w:rsid w:val="007C39B0"/>
    <w:rsid w:val="007C6A18"/>
    <w:rsid w:val="007C785D"/>
    <w:rsid w:val="007E097D"/>
    <w:rsid w:val="007E6B0B"/>
    <w:rsid w:val="007F20DA"/>
    <w:rsid w:val="007F6A50"/>
    <w:rsid w:val="00804F59"/>
    <w:rsid w:val="008122FC"/>
    <w:rsid w:val="008263BA"/>
    <w:rsid w:val="0083036D"/>
    <w:rsid w:val="00836BEE"/>
    <w:rsid w:val="008532D1"/>
    <w:rsid w:val="0085356D"/>
    <w:rsid w:val="00854B3E"/>
    <w:rsid w:val="00856913"/>
    <w:rsid w:val="00860163"/>
    <w:rsid w:val="00862ED8"/>
    <w:rsid w:val="0087291B"/>
    <w:rsid w:val="00873BC2"/>
    <w:rsid w:val="00882CD2"/>
    <w:rsid w:val="00885946"/>
    <w:rsid w:val="008869BC"/>
    <w:rsid w:val="00887F9E"/>
    <w:rsid w:val="00895155"/>
    <w:rsid w:val="0089745E"/>
    <w:rsid w:val="008A4F8E"/>
    <w:rsid w:val="008A5BD4"/>
    <w:rsid w:val="008A6CEE"/>
    <w:rsid w:val="008B30E3"/>
    <w:rsid w:val="008B6326"/>
    <w:rsid w:val="008B6376"/>
    <w:rsid w:val="008C58D1"/>
    <w:rsid w:val="008C6048"/>
    <w:rsid w:val="008D47B7"/>
    <w:rsid w:val="008D6D98"/>
    <w:rsid w:val="008D713B"/>
    <w:rsid w:val="008E68CB"/>
    <w:rsid w:val="008F1222"/>
    <w:rsid w:val="008F1761"/>
    <w:rsid w:val="008F1F0E"/>
    <w:rsid w:val="008F2432"/>
    <w:rsid w:val="008F71F6"/>
    <w:rsid w:val="008F725D"/>
    <w:rsid w:val="009020D7"/>
    <w:rsid w:val="00902F03"/>
    <w:rsid w:val="009037B5"/>
    <w:rsid w:val="0090425E"/>
    <w:rsid w:val="009050F0"/>
    <w:rsid w:val="00907F5E"/>
    <w:rsid w:val="00911E3C"/>
    <w:rsid w:val="00914FDB"/>
    <w:rsid w:val="00920D1F"/>
    <w:rsid w:val="009213F2"/>
    <w:rsid w:val="00930575"/>
    <w:rsid w:val="00937212"/>
    <w:rsid w:val="00940ED9"/>
    <w:rsid w:val="00942086"/>
    <w:rsid w:val="00943EF8"/>
    <w:rsid w:val="009505F1"/>
    <w:rsid w:val="00953D3D"/>
    <w:rsid w:val="0095676F"/>
    <w:rsid w:val="00961E65"/>
    <w:rsid w:val="00977228"/>
    <w:rsid w:val="00977C21"/>
    <w:rsid w:val="00980FCC"/>
    <w:rsid w:val="00982CC1"/>
    <w:rsid w:val="00985A9C"/>
    <w:rsid w:val="00987F44"/>
    <w:rsid w:val="00994160"/>
    <w:rsid w:val="009969F5"/>
    <w:rsid w:val="009971A9"/>
    <w:rsid w:val="009A0AA0"/>
    <w:rsid w:val="009A68E4"/>
    <w:rsid w:val="009B335B"/>
    <w:rsid w:val="009C199E"/>
    <w:rsid w:val="009C2874"/>
    <w:rsid w:val="009C4FBC"/>
    <w:rsid w:val="009D1A5E"/>
    <w:rsid w:val="009E36CF"/>
    <w:rsid w:val="009E6E15"/>
    <w:rsid w:val="009F60B0"/>
    <w:rsid w:val="00A06FEF"/>
    <w:rsid w:val="00A110A2"/>
    <w:rsid w:val="00A14E23"/>
    <w:rsid w:val="00A15527"/>
    <w:rsid w:val="00A164F7"/>
    <w:rsid w:val="00A165E3"/>
    <w:rsid w:val="00A22887"/>
    <w:rsid w:val="00A236FD"/>
    <w:rsid w:val="00A3053B"/>
    <w:rsid w:val="00A327D8"/>
    <w:rsid w:val="00A327EE"/>
    <w:rsid w:val="00A32E84"/>
    <w:rsid w:val="00A3680D"/>
    <w:rsid w:val="00A40B03"/>
    <w:rsid w:val="00A52217"/>
    <w:rsid w:val="00A52778"/>
    <w:rsid w:val="00A528CE"/>
    <w:rsid w:val="00A706D2"/>
    <w:rsid w:val="00A76E37"/>
    <w:rsid w:val="00A77780"/>
    <w:rsid w:val="00A86F2C"/>
    <w:rsid w:val="00A904FF"/>
    <w:rsid w:val="00A9264B"/>
    <w:rsid w:val="00AA1147"/>
    <w:rsid w:val="00AB4789"/>
    <w:rsid w:val="00AC01F5"/>
    <w:rsid w:val="00AC16A9"/>
    <w:rsid w:val="00AC1872"/>
    <w:rsid w:val="00AD4D66"/>
    <w:rsid w:val="00AE026A"/>
    <w:rsid w:val="00AE3364"/>
    <w:rsid w:val="00AE6AB8"/>
    <w:rsid w:val="00AF5FB0"/>
    <w:rsid w:val="00AF6CC7"/>
    <w:rsid w:val="00B04869"/>
    <w:rsid w:val="00B04E62"/>
    <w:rsid w:val="00B06817"/>
    <w:rsid w:val="00B06E0A"/>
    <w:rsid w:val="00B13977"/>
    <w:rsid w:val="00B205AA"/>
    <w:rsid w:val="00B21C84"/>
    <w:rsid w:val="00B32272"/>
    <w:rsid w:val="00B434DE"/>
    <w:rsid w:val="00B47900"/>
    <w:rsid w:val="00B53453"/>
    <w:rsid w:val="00B53ABE"/>
    <w:rsid w:val="00B60A37"/>
    <w:rsid w:val="00B634CA"/>
    <w:rsid w:val="00B64148"/>
    <w:rsid w:val="00B738D6"/>
    <w:rsid w:val="00B74674"/>
    <w:rsid w:val="00B825A7"/>
    <w:rsid w:val="00B9086E"/>
    <w:rsid w:val="00B94354"/>
    <w:rsid w:val="00B95331"/>
    <w:rsid w:val="00B95987"/>
    <w:rsid w:val="00BB0DAA"/>
    <w:rsid w:val="00BB2F83"/>
    <w:rsid w:val="00BB5D37"/>
    <w:rsid w:val="00BE66E8"/>
    <w:rsid w:val="00BE72DB"/>
    <w:rsid w:val="00BF4799"/>
    <w:rsid w:val="00BF5557"/>
    <w:rsid w:val="00BF7DBF"/>
    <w:rsid w:val="00C012D7"/>
    <w:rsid w:val="00C01AB5"/>
    <w:rsid w:val="00C13B91"/>
    <w:rsid w:val="00C1478E"/>
    <w:rsid w:val="00C14F3F"/>
    <w:rsid w:val="00C16003"/>
    <w:rsid w:val="00C254B0"/>
    <w:rsid w:val="00C26EF4"/>
    <w:rsid w:val="00C33E30"/>
    <w:rsid w:val="00C37A7E"/>
    <w:rsid w:val="00C52F0B"/>
    <w:rsid w:val="00C54054"/>
    <w:rsid w:val="00C55CB4"/>
    <w:rsid w:val="00C61A3A"/>
    <w:rsid w:val="00C71723"/>
    <w:rsid w:val="00C748BE"/>
    <w:rsid w:val="00C7578E"/>
    <w:rsid w:val="00C779D6"/>
    <w:rsid w:val="00C77C3C"/>
    <w:rsid w:val="00C81734"/>
    <w:rsid w:val="00C82C06"/>
    <w:rsid w:val="00C91F97"/>
    <w:rsid w:val="00C930AA"/>
    <w:rsid w:val="00C93808"/>
    <w:rsid w:val="00C940BB"/>
    <w:rsid w:val="00C97E22"/>
    <w:rsid w:val="00CA312C"/>
    <w:rsid w:val="00CA6094"/>
    <w:rsid w:val="00CA62D2"/>
    <w:rsid w:val="00CA78D9"/>
    <w:rsid w:val="00CB50FB"/>
    <w:rsid w:val="00CB60B5"/>
    <w:rsid w:val="00CB6AC5"/>
    <w:rsid w:val="00CB7EB4"/>
    <w:rsid w:val="00CC6AEA"/>
    <w:rsid w:val="00CC6CE5"/>
    <w:rsid w:val="00CD1312"/>
    <w:rsid w:val="00CD3DB9"/>
    <w:rsid w:val="00CD45CF"/>
    <w:rsid w:val="00CE12F7"/>
    <w:rsid w:val="00CE1486"/>
    <w:rsid w:val="00CF3948"/>
    <w:rsid w:val="00CF3AA8"/>
    <w:rsid w:val="00D14ACB"/>
    <w:rsid w:val="00D2360E"/>
    <w:rsid w:val="00D236C4"/>
    <w:rsid w:val="00D24C89"/>
    <w:rsid w:val="00D27D45"/>
    <w:rsid w:val="00D50089"/>
    <w:rsid w:val="00D52B73"/>
    <w:rsid w:val="00D52C33"/>
    <w:rsid w:val="00D54910"/>
    <w:rsid w:val="00D5633F"/>
    <w:rsid w:val="00D62916"/>
    <w:rsid w:val="00D6508C"/>
    <w:rsid w:val="00D65EE5"/>
    <w:rsid w:val="00D661DB"/>
    <w:rsid w:val="00D7565F"/>
    <w:rsid w:val="00D80D65"/>
    <w:rsid w:val="00D96FAE"/>
    <w:rsid w:val="00DA4597"/>
    <w:rsid w:val="00DA620E"/>
    <w:rsid w:val="00DA7D7F"/>
    <w:rsid w:val="00DB1522"/>
    <w:rsid w:val="00DB5A29"/>
    <w:rsid w:val="00DB68FE"/>
    <w:rsid w:val="00DB7B75"/>
    <w:rsid w:val="00DC4D5D"/>
    <w:rsid w:val="00DD328A"/>
    <w:rsid w:val="00DE5CC1"/>
    <w:rsid w:val="00DF0E6F"/>
    <w:rsid w:val="00DF1630"/>
    <w:rsid w:val="00E053D4"/>
    <w:rsid w:val="00E11E94"/>
    <w:rsid w:val="00E230A5"/>
    <w:rsid w:val="00E319B9"/>
    <w:rsid w:val="00E32CCA"/>
    <w:rsid w:val="00E403D5"/>
    <w:rsid w:val="00E4216B"/>
    <w:rsid w:val="00E46542"/>
    <w:rsid w:val="00E5263F"/>
    <w:rsid w:val="00E56F63"/>
    <w:rsid w:val="00E645C4"/>
    <w:rsid w:val="00E675D5"/>
    <w:rsid w:val="00E81067"/>
    <w:rsid w:val="00E81400"/>
    <w:rsid w:val="00E8518E"/>
    <w:rsid w:val="00E91DC7"/>
    <w:rsid w:val="00E94815"/>
    <w:rsid w:val="00E95BB9"/>
    <w:rsid w:val="00E97767"/>
    <w:rsid w:val="00EA430A"/>
    <w:rsid w:val="00EA5506"/>
    <w:rsid w:val="00EA6CA0"/>
    <w:rsid w:val="00EB0577"/>
    <w:rsid w:val="00EB3BC6"/>
    <w:rsid w:val="00EB3FC4"/>
    <w:rsid w:val="00EB68A9"/>
    <w:rsid w:val="00EC0148"/>
    <w:rsid w:val="00EC37D1"/>
    <w:rsid w:val="00EC7BA0"/>
    <w:rsid w:val="00ED520D"/>
    <w:rsid w:val="00ED5B52"/>
    <w:rsid w:val="00ED7556"/>
    <w:rsid w:val="00EF55CD"/>
    <w:rsid w:val="00EF7E9E"/>
    <w:rsid w:val="00F008FC"/>
    <w:rsid w:val="00F054B5"/>
    <w:rsid w:val="00F15565"/>
    <w:rsid w:val="00F17EAA"/>
    <w:rsid w:val="00F2067F"/>
    <w:rsid w:val="00F24764"/>
    <w:rsid w:val="00F27F0F"/>
    <w:rsid w:val="00F30142"/>
    <w:rsid w:val="00F35973"/>
    <w:rsid w:val="00F37075"/>
    <w:rsid w:val="00F37DE9"/>
    <w:rsid w:val="00F40341"/>
    <w:rsid w:val="00F418EC"/>
    <w:rsid w:val="00F57D94"/>
    <w:rsid w:val="00F700D9"/>
    <w:rsid w:val="00F70521"/>
    <w:rsid w:val="00F73E3D"/>
    <w:rsid w:val="00F83081"/>
    <w:rsid w:val="00F834D0"/>
    <w:rsid w:val="00F84F1A"/>
    <w:rsid w:val="00FA3663"/>
    <w:rsid w:val="00FA5EE1"/>
    <w:rsid w:val="00FA7317"/>
    <w:rsid w:val="00FB6635"/>
    <w:rsid w:val="00FC0F36"/>
    <w:rsid w:val="00FC5EB7"/>
    <w:rsid w:val="00FD00C4"/>
    <w:rsid w:val="00FD0272"/>
    <w:rsid w:val="00FD0831"/>
    <w:rsid w:val="00FD19F7"/>
    <w:rsid w:val="00FD35CB"/>
    <w:rsid w:val="00FD77DB"/>
    <w:rsid w:val="00FE3C6D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0320"/>
  <w15:docId w15:val="{CEAED43E-4B8B-4747-9F17-42123DE2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1933-0FF4-4AD6-991E-6A322A4B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Трунова Ирина Владимировна</cp:lastModifiedBy>
  <cp:revision>70</cp:revision>
  <cp:lastPrinted>2022-08-02T13:35:00Z</cp:lastPrinted>
  <dcterms:created xsi:type="dcterms:W3CDTF">2022-08-10T06:47:00Z</dcterms:created>
  <dcterms:modified xsi:type="dcterms:W3CDTF">2022-10-27T13:07:00Z</dcterms:modified>
</cp:coreProperties>
</file>