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5E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6755E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6755E" w:rsidRPr="00A35028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56755E" w:rsidRPr="00A35028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56755E" w:rsidRPr="00A35028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56755E" w:rsidRPr="00A35028" w:rsidRDefault="0056755E" w:rsidP="0056755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56755E" w:rsidRPr="00A35028" w:rsidRDefault="0056755E" w:rsidP="0056755E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>31.05.2024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262</w:t>
      </w:r>
    </w:p>
    <w:p w:rsidR="000C224E" w:rsidRDefault="000C224E" w:rsidP="00595858">
      <w:bookmarkStart w:id="0" w:name="_GoBack"/>
      <w:bookmarkEnd w:id="0"/>
    </w:p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FC7C8E" w:rsidRDefault="00FC7C8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специализированного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B35A84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.07.2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специализированного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45 000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руб.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(сорок пять тысяч рублей) 00 копеек, в том числе НДС 20% в сумме 7 500 руб. (семь тысяч пятьсот рублей) 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06.06.2024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09.07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5BC1" w:rsidRDefault="009D5BC1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A84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10.07.2024;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.07.2024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12748">
        <w:rPr>
          <w:rFonts w:ascii="Times New Roman" w:hAnsi="Times New Roman"/>
          <w:sz w:val="26"/>
          <w:szCs w:val="26"/>
        </w:rPr>
        <w:t>2 250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412748">
        <w:rPr>
          <w:rFonts w:ascii="Times New Roman" w:hAnsi="Times New Roman"/>
          <w:sz w:val="26"/>
          <w:szCs w:val="26"/>
        </w:rPr>
        <w:t>две тысячи двести пятьдесят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рублей)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375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412748">
        <w:rPr>
          <w:rFonts w:ascii="Times New Roman" w:hAnsi="Times New Roman"/>
          <w:sz w:val="26"/>
          <w:szCs w:val="26"/>
        </w:rPr>
        <w:t>триста семьдесят пять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412748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12748">
        <w:rPr>
          <w:rFonts w:ascii="Times New Roman" w:hAnsi="Times New Roman"/>
          <w:sz w:val="26"/>
          <w:szCs w:val="26"/>
        </w:rPr>
        <w:t>4 500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412748">
        <w:rPr>
          <w:rFonts w:ascii="Times New Roman" w:hAnsi="Times New Roman"/>
          <w:sz w:val="26"/>
          <w:szCs w:val="26"/>
        </w:rPr>
        <w:t xml:space="preserve">четыре </w:t>
      </w:r>
      <w:proofErr w:type="spellStart"/>
      <w:r w:rsidR="00412748">
        <w:rPr>
          <w:rFonts w:ascii="Times New Roman" w:hAnsi="Times New Roman"/>
          <w:sz w:val="26"/>
          <w:szCs w:val="26"/>
        </w:rPr>
        <w:t>тысчи</w:t>
      </w:r>
      <w:proofErr w:type="spellEnd"/>
      <w:r w:rsidR="00297DBD">
        <w:rPr>
          <w:rFonts w:ascii="Times New Roman" w:hAnsi="Times New Roman"/>
          <w:sz w:val="26"/>
          <w:szCs w:val="26"/>
        </w:rPr>
        <w:t xml:space="preserve"> пятьсот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копеек, в том числе НДС 20% в сумме </w:t>
      </w:r>
      <w:r w:rsidR="00412748">
        <w:rPr>
          <w:rFonts w:ascii="Times New Roman" w:hAnsi="Times New Roman"/>
          <w:sz w:val="26"/>
          <w:szCs w:val="26"/>
        </w:rPr>
        <w:t>750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412748">
        <w:rPr>
          <w:rFonts w:ascii="Times New Roman" w:hAnsi="Times New Roman"/>
          <w:sz w:val="26"/>
          <w:szCs w:val="26"/>
        </w:rPr>
        <w:t>семьсот пятьдесят</w:t>
      </w:r>
      <w:r w:rsidRPr="0059093F">
        <w:rPr>
          <w:rFonts w:ascii="Times New Roman" w:hAnsi="Times New Roman"/>
          <w:sz w:val="26"/>
          <w:szCs w:val="26"/>
        </w:rPr>
        <w:t xml:space="preserve"> рублей) 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 в 2024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исполняющего обязанности 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</w:t>
      </w:r>
      <w:r w:rsidR="00FC7C8E">
        <w:rPr>
          <w:rFonts w:ascii="Times New Roman" w:hAnsi="Times New Roman"/>
          <w:sz w:val="26"/>
          <w:szCs w:val="26"/>
        </w:rPr>
        <w:t xml:space="preserve">    </w:t>
      </w:r>
      <w:r w:rsidRPr="000D23B3">
        <w:rPr>
          <w:rFonts w:ascii="Times New Roman" w:hAnsi="Times New Roman"/>
          <w:sz w:val="26"/>
          <w:szCs w:val="26"/>
        </w:rPr>
        <w:t xml:space="preserve">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7E28" w:rsidRDefault="00467E28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7E28" w:rsidRPr="000D23B3" w:rsidRDefault="00467E28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4C04" w:rsidSect="00A31F43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421FA"/>
    <w:rsid w:val="002459DD"/>
    <w:rsid w:val="00250223"/>
    <w:rsid w:val="00253BDD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E28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55E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4605B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5620B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C7C8E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56755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5675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AE13-B204-4864-9B29-9C17DFC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2</cp:revision>
  <cp:lastPrinted>2024-05-31T12:22:00Z</cp:lastPrinted>
  <dcterms:created xsi:type="dcterms:W3CDTF">2024-06-03T14:39:00Z</dcterms:created>
  <dcterms:modified xsi:type="dcterms:W3CDTF">2024-06-03T14:39:00Z</dcterms:modified>
</cp:coreProperties>
</file>