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D5112A" w:rsidP="00030526">
      <w:pPr>
        <w:pStyle w:val="af0"/>
        <w:contextualSpacing/>
        <w:jc w:val="center"/>
        <w:rPr>
          <w:sz w:val="28"/>
          <w:szCs w:val="28"/>
        </w:rPr>
      </w:pPr>
      <w:r w:rsidRPr="00D5112A">
        <w:rPr>
          <w:sz w:val="28"/>
          <w:szCs w:val="28"/>
          <w:u w:val="single"/>
        </w:rPr>
        <w:t>26.06.2024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>
        <w:rPr>
          <w:sz w:val="28"/>
          <w:szCs w:val="28"/>
          <w:u w:val="single"/>
        </w:rPr>
        <w:t>65-ПГ</w:t>
      </w:r>
      <w:r w:rsidRPr="00D5112A">
        <w:rPr>
          <w:sz w:val="28"/>
          <w:szCs w:val="28"/>
          <w:u w:val="single"/>
        </w:rPr>
        <w:t>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1A0AFA">
        <w:rPr>
          <w:sz w:val="28"/>
          <w:szCs w:val="28"/>
        </w:rPr>
        <w:t>21.06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1A0AFA">
        <w:rPr>
          <w:sz w:val="28"/>
          <w:szCs w:val="28"/>
        </w:rPr>
        <w:t xml:space="preserve"> 29Исх-9090</w:t>
      </w:r>
      <w:r w:rsidR="00B12DE0">
        <w:rPr>
          <w:sz w:val="28"/>
          <w:szCs w:val="28"/>
        </w:rPr>
        <w:t>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с 28.06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12.07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деятельности» (код 3.6.1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50:20:0041103:1817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5255 +/- 25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, для ведения личного подсобного хозяйства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д. Дарьино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1A0AFA">
        <w:rPr>
          <w:bCs/>
          <w:sz w:val="28"/>
          <w:szCs w:val="28"/>
          <w:shd w:val="clear" w:color="auto" w:fill="FFFFFF"/>
        </w:rPr>
        <w:t>Жириновского Олега Владимировича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bookmarkStart w:id="0" w:name="_GoBack"/>
      <w:bookmarkEnd w:id="0"/>
      <w:r w:rsidR="00FC312F" w:rsidRPr="00FC312F">
        <w:rPr>
          <w:sz w:val="28"/>
          <w:szCs w:val="28"/>
          <w:u w:val="single"/>
        </w:rPr>
        <w:t>26.06.2024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FC312F" w:rsidRPr="00FC312F">
        <w:rPr>
          <w:sz w:val="28"/>
          <w:szCs w:val="28"/>
          <w:u w:val="single"/>
        </w:rPr>
        <w:t>65-ПГл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3.6.1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тровым номером 50:20:0041103:1817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площадью 5255 +/- 25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индивидуального жилищного строительства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, для ведения лич</w:t>
      </w:r>
      <w:r w:rsidR="003F3A78">
        <w:rPr>
          <w:rStyle w:val="a9"/>
          <w:b w:val="0"/>
          <w:sz w:val="28"/>
          <w:szCs w:val="28"/>
          <w:shd w:val="clear" w:color="auto" w:fill="FFFFFF"/>
        </w:rPr>
        <w:t>ного подсобно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го хозяйства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</w:t>
      </w:r>
      <w:r w:rsidR="00581CA4">
        <w:rPr>
          <w:rStyle w:val="a9"/>
          <w:b w:val="0"/>
          <w:sz w:val="28"/>
          <w:szCs w:val="28"/>
          <w:shd w:val="clear" w:color="auto" w:fill="FFFFFF"/>
        </w:rPr>
        <w:br/>
      </w:r>
      <w:r w:rsidR="001A0AFA">
        <w:rPr>
          <w:rStyle w:val="a9"/>
          <w:b w:val="0"/>
          <w:sz w:val="28"/>
          <w:szCs w:val="28"/>
          <w:shd w:val="clear" w:color="auto" w:fill="FFFFFF"/>
        </w:rPr>
        <w:t>д. Дарьино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1A0AFA">
        <w:rPr>
          <w:bCs/>
          <w:sz w:val="28"/>
          <w:szCs w:val="28"/>
          <w:shd w:val="clear" w:color="auto" w:fill="FFFFFF"/>
        </w:rPr>
        <w:t>Жириновского Олега Владимировича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1A0AFA">
        <w:rPr>
          <w:rStyle w:val="a9"/>
          <w:b w:val="0"/>
          <w:sz w:val="28"/>
          <w:szCs w:val="28"/>
          <w:shd w:val="clear" w:color="auto" w:fill="FFFFFF"/>
        </w:rPr>
        <w:t>с 28.06.2024 по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с 28.06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08.07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1A0AFA">
        <w:rPr>
          <w:color w:val="auto"/>
          <w:sz w:val="28"/>
          <w:szCs w:val="28"/>
        </w:rPr>
        <w:t>суждений будет проводиться 05.07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A0AFA">
        <w:rPr>
          <w:sz w:val="28"/>
          <w:szCs w:val="28"/>
        </w:rPr>
        <w:t xml:space="preserve">ения </w:t>
      </w:r>
      <w:r w:rsidR="001A0AFA">
        <w:rPr>
          <w:sz w:val="28"/>
          <w:szCs w:val="28"/>
        </w:rPr>
        <w:br/>
        <w:t>и замечания в срок с 28.06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08.07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3F3A7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3F3A78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C05C03" w:rsidRDefault="00C05C03" w:rsidP="00186B69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DE6E48" w:rsidRDefault="00DE6E48" w:rsidP="00DE6E48">
      <w:pPr>
        <w:pStyle w:val="a4"/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3196"/>
    <w:rsid w:val="001754BF"/>
    <w:rsid w:val="00180E45"/>
    <w:rsid w:val="00183791"/>
    <w:rsid w:val="00184283"/>
    <w:rsid w:val="001853E0"/>
    <w:rsid w:val="00186B69"/>
    <w:rsid w:val="001921B2"/>
    <w:rsid w:val="001978E5"/>
    <w:rsid w:val="001A0AFA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3A78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81CA4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12A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312F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EF9B-1B70-4D5E-BBDA-1C069587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4</cp:revision>
  <cp:lastPrinted>2024-02-29T09:32:00Z</cp:lastPrinted>
  <dcterms:created xsi:type="dcterms:W3CDTF">2024-06-25T09:43:00Z</dcterms:created>
  <dcterms:modified xsi:type="dcterms:W3CDTF">2024-06-26T11:16:00Z</dcterms:modified>
</cp:coreProperties>
</file>