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постановлением Администрации Одинцовского городского округа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«Установление публичного сервитута в порядке Главы V.7. Земельного кодекса Российской Федерации»</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«Установление публичного сервитута в порядке Главы V.7. Земельного кодекса Российской Федерации»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Одинцовского городского округа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Личный кабинет ⁠–⁠ сервис РПГУ, позволяющий заявителю получать информацию о ходе обработки запросов, поданных посредством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юридическим лицам либо их уполномоченным представителям,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«Установление публичного сервитута в порядке Главы V.7. Земельного кодекса Российской Федерации».</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Комитет по управлению муниципальным имуществом.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w:t>
      </w:r>
      <w:r>
        <w:rPr>
          <w:rFonts w:ascii="Times New Roman" w:hAnsi="Times New Roman"/>
          <w:b w:val="false"/>
          <w:bCs w:val="false"/>
          <w:i w:val="false"/>
          <w:caps w:val="false"/>
          <w:smallCaps w:val="false"/>
          <w:color w:val="000000"/>
          <w:spacing w:val="0"/>
          <w:sz w:val="28"/>
          <w:szCs w:val="28"/>
          <w:lang w:val="ru-RU" w:eastAsia="zxx" w:bidi="zxx"/>
        </w:rPr>
        <w:t>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r>
        <w:rPr>
          <w:rFonts w:ascii="Times New Roman" w:hAnsi="Times New Roman"/>
          <w:b w:val="false"/>
          <w:bCs w:val="false"/>
          <w:sz w:val="28"/>
          <w:szCs w:val="28"/>
          <w:lang w:val="zxx" w:eastAsia="zxx" w:bidi="zxx"/>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2</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лично в Администрации на бумажном носителе. В случае неистребования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https://odin.ru/,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3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ВИС;</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16.2.3.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бесплатного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подачи запросов, 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получение результата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выбору заявителя независимо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его места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Услуги в МФЦ осуществляется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 «Об</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организации предоставления государственных и муниципальных услуг» </w:t>
      </w:r>
      <w:r>
        <w:rPr>
          <w:rFonts w:ascii="Times New Roman" w:hAnsi="Times New Roman"/>
          <w:b w:val="false"/>
          <w:bCs w:val="false"/>
          <w:sz w:val="28"/>
          <w:szCs w:val="28"/>
        </w:rPr>
        <w:t xml:space="preserve">(далее – Федеральный закон </w:t>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постановлением Правительства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Федерации </w:t>
      </w:r>
      <w:r>
        <w:rPr>
          <w:rFonts w:ascii="Times New Roman" w:hAnsi="Times New Roman"/>
          <w:b w:val="false"/>
          <w:bCs w:val="false"/>
          <w:color w:val="000000"/>
          <w:sz w:val="28"/>
          <w:szCs w:val="28"/>
        </w:rPr>
        <w:t>№ 1376, а также в соответствии с соглашением о</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Государственным казенным учреждением Московской области «Московский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областной многофункциональный центр предоставления государственных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муниципальных услуг»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порядке, установленном законодательством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При предоставлении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выдаче результата предоставления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Установление публичного сервитута в порядке Главы V.7. Земельного кодекса Российской Федерации.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лично, почтовым отправлением, по электронной почте</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false"/>
          <w:bCs w:val="false"/>
          <w:sz w:val="28"/>
          <w:szCs w:val="28"/>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лично, почтовым отправлением, по электронной почте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5 (пяти)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false"/>
          <w:bCs w:val="false"/>
          <w:color w:val="000000"/>
          <w:sz w:val="28"/>
          <w:szCs w:val="28"/>
          <w:lang w:val="en-US"/>
        </w:rPr>
        <w:t xml:space="preserve"> при личном обращении в Администрацию, почтовым отправлением, по электронной почте</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(пяти) рабочих дней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5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 2, 3, 4, 6, 7, 8, 15, 16,</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 17.1.4, 17.1.6 ‒ 17.1.8, 17.1.15, 17.1.16</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30 (тридцать)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30 (тридцать)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оповещение правообладателей о возможном установлении публичного сервитута;</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19.1.3 Регламента. Заявителем по собственной инициативе могут быть представлены документы, указанные в подпункте 19.1.4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19.1.5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Оповещение правообладателей о возможном установлении публичного сервитута.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Оповещение правообладателей о возможном установлении публичного сервитута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менее 15 календарных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Администрация обеспечивает извещение правообладателей земельных участков в соответствии со ст. 39.42 Земельного кодекса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 без взимания платы путем: 1) размещения сообщения о возможном установлении публичного сервитута на официальном сайте Администрации, в информационно⁠-⁠телекоммуникационной сети Интернет;</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б) за счет средств заявителя путем: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5,</w:t>
      </w:r>
      <w:r>
        <w:rPr>
          <w:rFonts w:ascii="Times New Roman" w:hAnsi="Times New Roman"/>
          <w:b w:val="false"/>
          <w:bCs w:val="false"/>
          <w:color w:val="000000"/>
          <w:sz w:val="28"/>
          <w:szCs w:val="28"/>
          <w:lang w:val="ru-RU"/>
        </w:rPr>
        <w:t xml:space="preserve"> </w:t>
      </w:r>
      <w:bookmarkStart w:id="20" w:name="__DdeLink__6048_2857491986_Copy_1"/>
      <w:bookmarkEnd w:id="20"/>
      <w:r>
        <w:rPr>
          <w:rFonts w:ascii="Times New Roman" w:hAnsi="Times New Roman"/>
          <w:b w:val="false"/>
          <w:bCs w:val="false"/>
          <w:i w:val="false"/>
          <w:iCs w:val="false"/>
          <w:color w:val="000000"/>
          <w:sz w:val="28"/>
          <w:szCs w:val="28"/>
          <w:lang w:val="ru-RU"/>
        </w:rPr>
        <w:t>указанного в подпункте 17.1.5</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.2. Срок предоставления Услуги составляет 30 (тридцать)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30 (тридцать)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1" w:name="_anchor_96_Копия_1_Copy_1"/>
      <w:bookmarkEnd w:id="2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организацией, осуществляющей строительство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оповещение правообладателей о возможном установлении публичного сервитута;</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19.2.3 Регламента. Заявителем по собственной инициативе могут быть представлены документы, указанные в подпункте 19.2.4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19.2.5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Оповещение правообладателей о возможном установлении публичного сервитута.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Оповещение правообладателей о возможном установлении публичного сервитута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менее 15 календарных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Администрация обеспечивает извещение правообладателей земельных участков в соответствии со ст. 39.42 Земельного кодекса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 без взимания платы путем: 1) размещения сообщения о возможном установлении публичного сервитута на официальном сайте Администрации, в информационно⁠-⁠телекоммуникационной сети Интернет;</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б) за счет средств заявителя путем: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19.2.7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9, 13, 14,</w:t>
      </w:r>
      <w:r>
        <w:rPr>
          <w:rFonts w:ascii="Times New Roman" w:hAnsi="Times New Roman"/>
          <w:b w:val="false"/>
          <w:bCs w:val="false"/>
          <w:color w:val="000000"/>
          <w:sz w:val="28"/>
          <w:szCs w:val="28"/>
          <w:lang w:val="ru-RU"/>
        </w:rPr>
        <w:t xml:space="preserve"> </w:t>
      </w:r>
      <w:bookmarkStart w:id="22" w:name="__DdeLink__6048_2857491986_Copy_2"/>
      <w:bookmarkEnd w:id="22"/>
      <w:r>
        <w:rPr>
          <w:rFonts w:ascii="Times New Roman" w:hAnsi="Times New Roman"/>
          <w:b w:val="false"/>
          <w:bCs w:val="false"/>
          <w:i w:val="false"/>
          <w:iCs w:val="false"/>
          <w:color w:val="000000"/>
          <w:sz w:val="28"/>
          <w:szCs w:val="28"/>
          <w:lang w:val="ru-RU"/>
        </w:rPr>
        <w:t>указанных в подпунктах 17.1.9, 17.1.13, 17.1.14</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.2. Срок предоставления Услуги составляет 15 (пятнадцать)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15 (пятнадцать)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3" w:name="_anchor_96_Копия_1_Copy_2"/>
      <w:bookmarkEnd w:id="2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19.3.3 Регламента. Заявителем по собственной инициативе могут быть представлены документы, указанные в подпункте 19.3.4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19.3.5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19.3.7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10,</w:t>
      </w:r>
      <w:r>
        <w:rPr>
          <w:rFonts w:ascii="Times New Roman" w:hAnsi="Times New Roman"/>
          <w:b w:val="false"/>
          <w:bCs w:val="false"/>
          <w:color w:val="000000"/>
          <w:sz w:val="28"/>
          <w:szCs w:val="28"/>
          <w:lang w:val="ru-RU"/>
        </w:rPr>
        <w:t xml:space="preserve"> </w:t>
      </w:r>
      <w:bookmarkStart w:id="24" w:name="__DdeLink__6048_2857491986_Copy_3"/>
      <w:bookmarkEnd w:id="24"/>
      <w:r>
        <w:rPr>
          <w:rFonts w:ascii="Times New Roman" w:hAnsi="Times New Roman"/>
          <w:b w:val="false"/>
          <w:bCs w:val="false"/>
          <w:i w:val="false"/>
          <w:iCs w:val="false"/>
          <w:color w:val="000000"/>
          <w:sz w:val="28"/>
          <w:szCs w:val="28"/>
          <w:lang w:val="ru-RU"/>
        </w:rPr>
        <w:t>указанного в подпункте 17.1.10</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.2. Срок предоставления Услуги составляет 30 (тридцать)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30 (тридцать)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5" w:name="_anchor_96_Копия_1_Copy_3"/>
      <w:bookmarkEnd w:id="2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Проект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9.4.</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оповещение правообладателей о возможном установлении публичного сервитута;</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19.4.3 Регламента. Заявителем по собственной инициативе могут быть представлены документы, указанные в подпункте 19.4.4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19.4.5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Оповещение правообладателей о возможном установлении публичного сервитута.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Оповещение правообладателей о возможном установлении публичного сервитута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менее 15 календарных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Администрация обеспечивает извещение правообладателей земельных участков в соответствии со ст. 39.42 Земельного кодекса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 без взимания платы путем: 1) размещения сообщения о возможном установлении публичного сервитута на официальном сайте Администрации, в информационно⁠-⁠телекоммуникационной сети Интернет;</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б) за счет средств заявителя путем: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19.4.7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19.5. 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11,</w:t>
      </w:r>
      <w:r>
        <w:rPr>
          <w:rFonts w:ascii="Times New Roman" w:hAnsi="Times New Roman"/>
          <w:b w:val="false"/>
          <w:bCs w:val="false"/>
          <w:color w:val="000000"/>
          <w:sz w:val="28"/>
          <w:szCs w:val="28"/>
          <w:lang w:val="ru-RU"/>
        </w:rPr>
        <w:t xml:space="preserve"> </w:t>
      </w:r>
      <w:bookmarkStart w:id="26" w:name="__DdeLink__6048_2857491986_Copy_4"/>
      <w:bookmarkEnd w:id="26"/>
      <w:r>
        <w:rPr>
          <w:rFonts w:ascii="Times New Roman" w:hAnsi="Times New Roman"/>
          <w:b w:val="false"/>
          <w:bCs w:val="false"/>
          <w:i w:val="false"/>
          <w:iCs w:val="false"/>
          <w:color w:val="000000"/>
          <w:sz w:val="28"/>
          <w:szCs w:val="28"/>
          <w:lang w:val="ru-RU"/>
        </w:rPr>
        <w:t>указанного в подпункте 17.1.11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5.</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.2. Срок предоставления Услуги составляет 30 (тридцать)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30 (тридцать)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7" w:name="_anchor_96_Копия_1_Copy_4"/>
      <w:bookmarkEnd w:id="2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договор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9.5.</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19.5.</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оповещение правообладателей о возможном установлении публичного сервитута;</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19.5.3 Регламента. Заявителем по собственной инициативе могут быть представлены документы, указанные в подпункте 19.5.4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19.5.5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Оповещение правообладателей о возможном установлении публичного сервитута.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Оповещение правообладателей о возможном установлении публичного сервитута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менее 15 календарных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Администрация обеспечивает извещение правообладателей земельных участков в соответствии со ст. 39.42 Земельного кодекса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 без взимания платы путем: 1) размещения сообщения о возможном установлении публичного сервитута на официальном сайте Администрации, в информационно⁠-⁠телекоммуникационной сети Интернет;</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б) за счет средств заявителя путем: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19.5.7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19.6. 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12,</w:t>
      </w:r>
      <w:r>
        <w:rPr>
          <w:rFonts w:ascii="Times New Roman" w:hAnsi="Times New Roman"/>
          <w:b w:val="false"/>
          <w:bCs w:val="false"/>
          <w:color w:val="000000"/>
          <w:sz w:val="28"/>
          <w:szCs w:val="28"/>
          <w:lang w:val="ru-RU"/>
        </w:rPr>
        <w:t xml:space="preserve"> </w:t>
      </w:r>
      <w:bookmarkStart w:id="28" w:name="__DdeLink__6048_2857491986_Copy_5"/>
      <w:bookmarkEnd w:id="28"/>
      <w:r>
        <w:rPr>
          <w:rFonts w:ascii="Times New Roman" w:hAnsi="Times New Roman"/>
          <w:b w:val="false"/>
          <w:bCs w:val="false"/>
          <w:i w:val="false"/>
          <w:iCs w:val="false"/>
          <w:color w:val="000000"/>
          <w:sz w:val="28"/>
          <w:szCs w:val="28"/>
          <w:lang w:val="ru-RU"/>
        </w:rPr>
        <w:t>указанного в подпункте 17.1.12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6.</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.2. Срок предоставления Услуги составляет 30 (тридцать) календарных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30 (тридцать) календарных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9" w:name="_anchor_96_Копия_1_Copy_5"/>
      <w:bookmarkEnd w:id="2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договор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9.6.</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(об испрашиваемом земельном участке).</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к запросу не приложены документы, предусмотренные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19.6.</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оповещение правообладателей о возможном установлении публичного сервитута;</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подпункте 19.6.3 Регламента. Заявителем по собственной инициативе могут быть представлены документы, указанные в подпункте 19.6.4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19.6.5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календарный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7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Оповещение правообладателей о возможном установлении публичного сервитута.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Оповещение правообладателей о возможном установлении публичного сервитута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менее 15 календарных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Администрация обеспечивает извещение правообладателей земельных участков в соответствии со ст. 39.42 Земельного кодекса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а) без взимания платы путем: 1) размещения сообщения о возможном установлении публичного сервитута на официальном сайте Администрации, в информационно⁠-⁠телекоммуникационной сети Интернет;</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б) за счет средств заявителя путем: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19.6.7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календарных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bookmarkStart w:id="30"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31" w:name="Par372_Копия_1"/>
      <w:bookmarkStart w:id="32" w:name="_Toc125717110_Копия_1"/>
      <w:bookmarkEnd w:id="31"/>
      <w:bookmarkEnd w:id="32"/>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 xml:space="preserve">. </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33" w:name="_Toc125717112"/>
      <w:bookmarkEnd w:id="33"/>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4" w:name="_Toc125717114"/>
      <w:bookmarkEnd w:id="34"/>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порядке и формах, предусмотренными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35" w:name="_Toc125717116"/>
      <w:bookmarkEnd w:id="35"/>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36" w:name="_Toc125717117"/>
      <w:bookmarkEnd w:id="30"/>
      <w:bookmarkEnd w:id="36"/>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sz w:val="28"/>
          <w:szCs w:val="28"/>
          <w:lang w:val="en-US" w:eastAsia="en-US" w:bidi="ar-SA"/>
        </w:rPr>
        <w:t>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xml:space="preserve">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90</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60257</TotalTime>
  <Application>LibreOffice/7.4.7.2$Linux_X86_64 LibreOffice_project/40$Build-2</Application>
  <AppVersion>15.0000</AppVersion>
  <Pages>25</Pages>
  <Words>5113</Words>
  <Characters>42923</Characters>
  <CharactersWithSpaces>47776</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2025-04-21T17:01:26Z</dcterms:modified>
  <cp:revision>1805</cp:revision>
  <dc:subject/>
  <dc:title/>
</cp:coreProperties>
</file>