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03"/>
        <w:gridCol w:w="2034"/>
        <w:gridCol w:w="4985"/>
      </w:tblGrid>
      <w:tr>
        <w:trPr>
          <w:trHeight w:val="283" w:hRule="atLeast"/>
        </w:trPr>
        <w:tc>
          <w:tcPr>
            <w:tcW w:w="2903" w:type="dxa"/>
            <w:tcBorders/>
          </w:tcPr>
          <w:p>
            <w:pPr>
              <w:pStyle w:val="TableContents"/>
              <w:pageBreakBefore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03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Liberation Serif" w:hAnsi="Liberation Serif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4985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административному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регламенту предоставления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услуги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«Установление публичного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сервитута в порядке Главы V.7.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Земельного кодекса Российской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Федерации», утвержденному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постановлением Администрации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Одинцовского городского округа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Московской области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  <w:t>$orderNum$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Footnote"/>
        <w:numPr>
          <w:ilvl w:val="0"/>
          <w:numId w:val="0"/>
        </w:numPr>
        <w:bidi w:val="0"/>
        <w:spacing w:lineRule="auto" w:line="276"/>
        <w:ind w:left="0" w:righ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  <w:br/>
        <w:t>общих признаков, по которым объединяются</w:t>
        <w:br/>
        <w:t>категории заявителей, а также комбинации признаков заявителей,</w:t>
        <w:br/>
        <w:t xml:space="preserve">каждая из которых соответствует </w:t>
      </w:r>
      <w:r>
        <w:rPr>
          <w:rFonts w:ascii="Times New Roman" w:hAnsi="Times New Roman"/>
          <w:sz w:val="28"/>
          <w:szCs w:val="28"/>
        </w:rPr>
        <w:t>одному варианту</w:t>
      </w:r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>
        <w:rPr>
          <w:rFonts w:ascii="Times New Roman" w:hAnsi="Times New Roman"/>
          <w:sz w:val="28"/>
          <w:szCs w:val="28"/>
          <w:lang w:val="ru-RU"/>
        </w:rPr>
        <w:t>«Установление публичного сервитута в порядке Главы V.7. Земельного кодекса Российской Федерации»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Footnote"/>
        <w:numPr>
          <w:ilvl w:val="0"/>
          <w:numId w:val="0"/>
        </w:numPr>
        <w:bidi w:val="0"/>
        <w:spacing w:lineRule="auto" w:line="276"/>
        <w:ind w:left="0" w:right="0"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Footnote"/>
        <w:numPr>
          <w:ilvl w:val="0"/>
          <w:numId w:val="0"/>
        </w:numPr>
        <w:bidi w:val="0"/>
        <w:spacing w:lineRule="auto" w:line="276"/>
        <w:ind w:left="0" w:righ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28"/>
        <w:gridCol w:w="4320"/>
        <w:gridCol w:w="4874"/>
      </w:tblGrid>
      <w:tr>
        <w:trPr/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субъекты естественных монополий ⁠–⁠ в случаях установления публичного сервитута для размещения, капитального ремонта инженерных сооружений, обеспечивающих деятельность этого субъекта, реконструкции, капитального ремонта их участков (частей), а также для проведения инженерных изысканий в целях подготовки документации по планировке территории, предусматривающей размещение указанных сооружений, инженерных изысканий для их строительства, реконструкции, реконструкции их участков (частей)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организации связи ⁠–⁠ для размещения линий или сооружений связи, указанных в подпункте 1 статьи 39.37 Земельного кодекса Российской Федерации, а также для проведения инженерных изысканий в целях подготовки документации по планировке территории, предусматривающей размещение указанных линий и сооружений связи, инженерных изысканий для их строительства, реконструкции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организации, предусмотренные пунктом 1 статьи 56.4 Земельного Кодекса Российской Федерации и подавшие ходатайство об изъятии земельных участков для муниципальных нужд, ⁠–⁠ в случае установления сервитута в целях реконструкции инженерного сооружения, которое переносится в связи с изъятием такого земельного участка для муниципальных нужд, реконструкции его участка (части)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организации, являющиеся единым оператором газификации, региональным оператором газификации, ⁠–⁠ в случае установления публичного сервитута для строительства, реконструкции, капитального ремонта и (или) эксплуатации линейных объектов систем газоснабжения, реконструкции или капитального ремонта их частей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организации, осуществляющие реконструкцию или капитальный ремонт инженерного сооружения, являющегося линейным объектом, реконструкцию, капитальный ремонт его участков (частей) в связи с планируемыми строительством, реконструкцией или капитальным ремонтом объектов капитального строительства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иное юридическое лицо, уполномоченное в соответствии с нормативными правовыми актами Российской Федерации, нормативными правовыми актами Московской области, заключенными с органами государственной власти или органами местного самоуправления договорами или соглашениями осуществлять деятельность, для обеспечения которой допускается установление публичного сервитута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организации, являющиеся владельцами инженерных сооружений местного значения, в случае установления публичного сервитута для проведения инженерных изысканий в целях подготовки документации по планировке территории, предусматривающей размещение линейных объектов местного значения, проведение инженерных изысканий для строительства, реконструкции указанных объектов, а также сооружений: объектов электросетевого хозяйства, тепловых сетей, водопроводных сетей, сетей водоотведения, линий и сооружений связи, линейных объектов системы газоснабжения, нефтепроводов и нефтепродуктопроводов, их неотъемлемых технологических частей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организации, являющиеся владельцами инженерных сооружений местного значения, в случае установления публичного сервитута для реконструкции участков (частей) инженерных сооружений, являющихся линейными объектами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организации, являющиеся владельцами инженерных сооружений местного значения, в случае установления публичного сервитута для капитального ремонта участков (частей) инженерных сооружений, являющихся линейными объектами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организации, являющиеся владельцами инженерных сооружений местного значения, в случае установления публичного сервитута для складирования строительных и иных материалов, возведения некапитальных строений, сооружений (включая ограждения, бытовки, навесы) и (или) размещения строительной техники, которые необходимы для обеспечения строительства, реконструкции, ремонта инженерных сооружений местного значения, на срок указанных строительства, реконструкции, ремонта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организации, являющиеся владельцами инженерных сооружений местного значения, в случае установления публичного сервитута для прокладки, переустройства, переноса инженерных коммуникаций местного значения, их эксплуатации в границах полос отвода и придорожных полос автомобильных дорог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строительства, реконструкции, эксплуатации, капитального ремонта объектов электросетевого хозяйства, тепловых сетей, водопроводных сетей, сетей водоотведения, линий и сооружений связи, линейных объектов системы газоснабжения, нефтепроводов и нефтепродуктопроводов, их неотъемлемых технологических частей, если указанные объекты являются объектами местного значения, либо необходимы для оказания услуг связи, для организации электро⁠-⁠, газо⁠-⁠, тепло⁠-⁠, водоснабжения населения и водоотведения, подключения (технологического присоединения) к сетям инженерно⁠-⁠технического обеспечения, либо переносятся в связи с изъятием земельных участков, на которых они ранее располагались, для муниципальных нужд (далее ⁠–⁠ инженерные сооружения)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переоформления права постоянного (бессрочного) пользования земельным участком, права аренды земельного участка юридическим лицом, имеющим на праве собственности, праве оперативного управления или праве хозяйственного ведения инженерные сооружения местного значения, которые в соответствии с Земельным кодексом Российской Федерации могут размещаться на земельном участке и (или) землях на основании публичного сервитута, при условии, что право собственности, право оперативного управления или право хозяйственного ведения на указанные сооружения возникло до 01.09.2018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переоформления права постоянного (бессрочного) пользования земельным участком, права аренды земельного участка юридическим лицом, имеющим на праве собственности, праве оперативного управления или праве хозяйственного ведения сооружения местного значения, которые в соответствии с Земельным кодексом Российской Федерации могут размещаться на земельных участках и (или) землях на основании публичного сервитута, при условии, что право собственности, право оперативного управления или право хозяйственного ведения на указанные сооружения возникло в порядке, установленном законодательством Российской Федерации, с 01.09.2018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оформления публичного сервитута до 01.01.2027 юридическим лицом, право собственности, право хозяйственного ведения или право оперативного управления которого на инженерные сооружения местного значения, которые в соответствии с Земельным кодексом Российской Федерации могут размещаться на земельном участке и (или) землях на основании публичного сервитута, возникло в порядке, установленном законодательством Российской Федерации, до 01.09.2018 и у которых отсутствуют права на земельный участок, на котором находятся такие сооружения (в соответствии со статьей 3.6 Федерального закона от 25.10.2001 № 137⁠-⁠ФЗ «О введении в действие Земельного кодекса Российской Федерации»)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оформления публичного сервитута до 01.01.2027 субъектом естественной монополии для эксплуатации используемого им линейного объекта местного значения в сфере деятельности субъекта естественной монополии или оператором связи для эксплуатации линии связи местного значения, в отношении которых у таких субъекта или оператора связи отсутствуют права, предусмотренные законодательством Российской Федерации, и которые эксплуатируются для организации электро⁠-⁠, газо⁠-⁠, тепло⁠-⁠, водоснабжения населения, водоотведения и оказания населению услуг связи, при этом такие линейные объекты созданы до 30.12.2004 (в соответствии со статьей 3.9 Федерального закона от 25.10.2001 № 137⁠-⁠ФЗ «О введении в действие Земельного кодекса Российской Федерации»)</w:t>
            </w:r>
          </w:p>
        </w:tc>
      </w:tr>
    </w:tbl>
    <w:p>
      <w:pPr>
        <w:pStyle w:val="Footnote"/>
        <w:widowControl w:val="false"/>
        <w:tabs>
          <w:tab w:val="clear" w:pos="709"/>
        </w:tabs>
        <w:bidi w:val="0"/>
        <w:spacing w:lineRule="auto" w:line="276"/>
        <w:ind w:left="0" w:righ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Footnote"/>
        <w:widowControl w:val="false"/>
        <w:tabs>
          <w:tab w:val="clear" w:pos="709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Комбинации признаков заявителей,</w:t>
        <w:br/>
        <w:t xml:space="preserve">каждая из которых соответствует </w:t>
      </w:r>
      <w:r>
        <w:rPr>
          <w:rFonts w:ascii="Times New Roman" w:hAnsi="Times New Roman"/>
          <w:sz w:val="28"/>
          <w:szCs w:val="28"/>
        </w:rPr>
        <w:t>одному варианту</w:t>
      </w:r>
      <w:r>
        <w:rPr>
          <w:rFonts w:ascii="Times New Roman" w:hAnsi="Times New Roman"/>
          <w:sz w:val="28"/>
          <w:szCs w:val="28"/>
        </w:rPr>
        <w:br/>
        <w:t>предоставления муниципальной услуги</w:t>
      </w:r>
    </w:p>
    <w:tbl>
      <w:tblPr>
        <w:tblW w:w="9917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04"/>
        <w:gridCol w:w="4370"/>
        <w:gridCol w:w="4843"/>
      </w:tblGrid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субъекты естественных монополий ⁠–⁠ в случаях установления публичного сервитута для размещения, капитального ремонта инженерных сооружений, обеспечивающих деятельность этого субъекта, реконструкции, капитального ремонта их участков (частей), а также для проведения инженерных изысканий в целях подготовки документации по планировке территории, предусматривающей размещение указанных сооружений, инженерных изысканий для их строительства, реконструкции, реконструкции их участков (частей),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17.1.1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организации связи ⁠–⁠ для размещения линий или сооружений связи, указанных в подпункте 1 статьи 39.37 Земельного кодекса Российской Федерации, а также для проведения инженерных изысканий в целях подготовки документации по планировке территории, предусматривающей размещение указанных линий и сооружений связи, инженерных изысканий для их строительства, реконструкции,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17.1.2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организации, предусмотренные пунктом 1 статьи 56.4 Земельного Кодекса Российской Федерации и подавшие ходатайство об изъятии земельных участков для муниципальных нужд, ⁠–⁠ в случае установления сервитута в целях реконструкции инженерного сооружения, которое переносится в связи с изъятием такого земельного участка для муниципальных нужд, реконструкции его участка (части),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17.1.3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организации, являющиеся единым оператором газификации, региональным оператором газификации, ⁠–⁠ в случае установления публичного сервитута для строительства, реконструкции, капитального ремонта и (или) эксплуатации линейных объектов систем газоснабжения, реконструкции или капитального ремонта их частей,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17.1.4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организации, осуществляющие реконструкцию или капитальный ремонт инженерного сооружения, являющегося линейным объектом, реконструкцию, капитальный ремонт его участков (частей) в связи с планируемыми строительством, реконструкцией или капитальным ремонтом объектов капитального строительства,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17.1.5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иное юридическое лицо, уполномоченное в соответствии с нормативными правовыми актами Российской Федерации, нормативными правовыми актами Московской области, заключенными с органами государственной власти или органами местного самоуправления договорами или соглашениями осуществлять деятельность, для обеспечения которой допускается установление публичного сервитута,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17.1.6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организации, являющиеся владельцами инженерных сооружений местного значения, в случае установления публичного сервитута для проведения инженерных изысканий в целях подготовки документации по планировке территории, предусматривающей размещение линейных объектов местного значения, проведение инженерных изысканий для строительства, реконструкции указанных объектов, а также сооружений: объектов электросетевого хозяйства, тепловых сетей, водопроводных сетей, сетей водоотведения, линий и сооружений связи, линейных объектов системы газоснабжения, нефтепроводов и нефтепродуктопроводов, их неотъемлемых технологических частей,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17.1.7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организации, являющиеся владельцами инженерных сооружений местного значения, в случае установления публичного сервитута для реконструкции участков (частей) инженерных сооружений, являющихся линейными объектами,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17.1.8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организации, являющиеся владельцами инженерных сооружений местного значения, в случае установления публичного сервитута для капитального ремонта участков (частей) инженерных сооружений, являющихся линейными объектами,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17.1.9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организации, являющиеся владельцами инженерных сооружений местного значения, в случае установления публичного сервитута для складирования строительных и иных материалов, возведения некапитальных строений, сооружений (включая ограждения, бытовки, навесы) и (или) размещения строительной техники, которые необходимы для обеспечения строительства, реконструкции, ремонта инженерных сооружений местного значения, на срок указанных строительства, реконструкции, ремонта,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17.1.10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организации, являющиеся владельцами инженерных сооружений местного значения, в случае установления публичного сервитута для прокладки, переустройства, переноса инженерных коммуникаций местного значения, их эксплуатации в границах полос отвода и придорожных полос автомобильных дорог,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17.1.11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для строительства, реконструкции, эксплуатации, капитального ремонта объектов электросетевого хозяйства, тепловых сетей, водопроводных сетей, сетей водоотведения, линий и сооружений связи, линейных объектов системы газоснабжения, нефтепроводов и нефтепродуктопроводов, их неотъемлемых технологических частей, если указанные объекты являются объектами местного значения, либо необходимы для оказания услуг связи, для организации электро⁠-⁠, газо⁠-⁠, тепло⁠-⁠, водоснабжения населения и водоотведения, подключения (технологического присоединения) к сетям инженерно⁠-⁠технического обеспечения, либо переносятся в связи с изъятием земельных участков, на которых они ранее располагались, для муниципальных нужд (далее ⁠–⁠ инженерные сооружения),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17.1.12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для переоформления права постоянного (бессрочного) пользования земельным участком, права аренды земельного участка юридическим лицом, имеющим на праве собственности, праве оперативного управления или праве хозяйственного ведения инженерные сооружения местного значения, которые в соответствии с Земельным кодексом Российской Федерации могут размещаться на земельном участке и (или) землях на основании публичного сервитута, при условии, что право собственности, право оперативного управления или право хозяйственного ведения на указанные сооружения возникло до 01.09.2018,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17.1.13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для переоформления права постоянного (бессрочного) пользования земельным участком, права аренды земельного участка юридическим лицом, имеющим на праве собственности, праве оперативного управления или праве хозяйственного ведения сооружения местного значения, которые в соответствии с Земельным кодексом Российской Федерации могут размещаться на земельных участках и (или) землях на основании публичного сервитута, при условии, что право собственности, право оперативного управления или право хозяйственного ведения на указанные сооружения возникло в порядке, установленном законодательством Российской Федерации, с 01.09.2018,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17.1.14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для оформления публичного сервитута до 01.01.2027 юридическим лицом, право собственности, право хозяйственного ведения или право оперативного управления которого на инженерные сооружения местного значения, которые в соответствии с Земельным кодексом Российской Федерации могут размещаться на земельном участке и (или) землях на основании публичного сервитута, возникло в порядке, установленном законодательством Российской Федерации, до 01.09.2018 и у которых отсутствуют права на земельный участок, на котором находятся такие сооружения (в соответствии со статьей 3.6 Федерального закона от 25.10.2001 № 137⁠-⁠ФЗ «О введении в действие Земельного кодекса Российской Федерации»),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17.1.15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для оформления публичного сервитута до 01.01.2027 субъектом естественной монополии для эксплуатации используемого им линейного объекта местного значения в сфере деятельности субъекта естественной монополии или оператором связи для эксплуатации линии связи местного значения, в отношении которых у таких субъекта или оператора связи отсутствуют права, предусмотренные законодательством Российской Федерации, и которые эксплуатируются для организации электро⁠-⁠, газо⁠-⁠, тепло⁠-⁠, водоснабжения населения, водоотведения и оказания населению услуг связи, при этом такие линейные объекты созданы до 30.12.2004 (в соответствии со статьей 3.9 Федерального закона от 25.10.2001 № 137⁠-⁠ФЗ «О введении в действие Земельного кодекса Российской Федерации»),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17.1.16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sectPr>
      <w:type w:val="continuous"/>
      <w:pgSz w:w="11906" w:h="16838"/>
      <w:pgMar w:left="1134" w:right="850" w:gutter="0" w:header="0" w:top="1134" w:footer="0" w:bottom="1134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tarSymbol">
    <w:altName w:val="Arial Unicode MS"/>
    <w:charset w:val="01"/>
    <w:family w:val="auto"/>
    <w:pitch w:val="default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Normal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Normal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Heading5">
    <w:name w:val="Heading 5"/>
    <w:basedOn w:val="Heading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PODNumberingSymbols">
    <w:name w:val="POD Numbering Symbols"/>
    <w:qFormat/>
    <w:rPr/>
  </w:style>
  <w:style w:type="character" w:styleId="PODBulletSymbols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WWCharLFO2LVL1">
    <w:name w:val="WW_CharLFO2LVL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2">
    <w:name w:val="WW_CharLFO2LVL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3">
    <w:name w:val="WW_CharLFO2LVL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4">
    <w:name w:val="WW_CharLFO2LVL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5">
    <w:name w:val="WW_CharLFO2LVL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6">
    <w:name w:val="WW_CharLFO2LVL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7">
    <w:name w:val="WW_CharLFO2LVL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8">
    <w:name w:val="WW_CharLFO2LVL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9">
    <w:name w:val="WW_CharLFO2LVL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DefaultParagraphFont">
    <w:name w:val="Default Paragraph Font"/>
    <w:qFormat/>
    <w:rPr/>
  </w:style>
  <w:style w:type="character" w:styleId="Style8">
    <w:name w:val="обычный приложения Знак"/>
    <w:basedOn w:val="DefaultParagraphFont"/>
    <w:qFormat/>
    <w:rPr>
      <w:rFonts w:ascii="Times New Roman" w:hAnsi="Times New Roman" w:eastAsia="Calibri"/>
      <w:b/>
      <w:sz w:val="24"/>
      <w:szCs w:val="24"/>
    </w:rPr>
  </w:style>
  <w:style w:type="character" w:styleId="2">
    <w:name w:val="АР Прил 2 Знак"/>
    <w:basedOn w:val="Style8"/>
    <w:qFormat/>
    <w:rPr>
      <w:rFonts w:ascii="Times New Roman" w:hAnsi="Times New Roman" w:eastAsia="Calibri"/>
      <w:b/>
      <w:sz w:val="24"/>
      <w:szCs w:val="24"/>
    </w:rPr>
  </w:style>
  <w:style w:type="paragraph" w:styleId="ParaKWN">
    <w:name w:val="ParaKWN"/>
    <w:basedOn w:val="Normal"/>
    <w:qFormat/>
    <w:pPr>
      <w:keepNext w:val="true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PodPageBreakBefore">
    <w:name w:val="podPageBreakBefore"/>
    <w:qFormat/>
    <w:pPr>
      <w:pageBreakBefore/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PageBreakAfter">
    <w:name w:val="podPageBreakAfter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ColumnBreak">
    <w:name w:val="podColumnBreak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PodBulletItem">
    <w:name w:val="podBulletItem"/>
    <w:basedOn w:val="Normal"/>
    <w:qFormat/>
    <w:pPr>
      <w:numPr>
        <w:ilvl w:val="0"/>
        <w:numId w:val="2"/>
      </w:numPr>
    </w:pPr>
    <w:rPr/>
  </w:style>
  <w:style w:type="paragraph" w:styleId="PodNumberItem">
    <w:name w:val="podNumberItem"/>
    <w:basedOn w:val="Normal"/>
    <w:qFormat/>
    <w:pPr>
      <w:numPr>
        <w:ilvl w:val="0"/>
        <w:numId w:val="3"/>
      </w:numPr>
    </w:pPr>
    <w:rPr/>
  </w:style>
  <w:style w:type="paragraph" w:styleId="PodBulletItemKeepWithNext">
    <w:name w:val="podBulletItemKeepWithNext"/>
    <w:basedOn w:val="Normal"/>
    <w:qFormat/>
    <w:pPr>
      <w:keepNext w:val="true"/>
      <w:numPr>
        <w:ilvl w:val="0"/>
        <w:numId w:val="2"/>
      </w:numPr>
    </w:pPr>
    <w:rPr/>
  </w:style>
  <w:style w:type="paragraph" w:styleId="PodNumberItemKeepWithNext">
    <w:name w:val="podNumberItemKeepWithNext"/>
    <w:basedOn w:val="Normal"/>
    <w:qFormat/>
    <w:pPr>
      <w:keepNext w:val="true"/>
      <w:numPr>
        <w:ilvl w:val="0"/>
        <w:numId w:val="3"/>
      </w:numPr>
    </w:pPr>
    <w:rPr/>
  </w:style>
  <w:style w:type="paragraph" w:styleId="Tablecell">
    <w:name w:val="Table cell"/>
    <w:basedOn w:val="Normal"/>
    <w:qFormat/>
    <w:pPr>
      <w:suppressLineNumbers/>
      <w:spacing w:before="0" w:after="0"/>
    </w:pPr>
    <w:rPr/>
  </w:style>
  <w:style w:type="paragraph" w:styleId="Tableheading">
    <w:name w:val="Table heading"/>
    <w:basedOn w:val="Tablecell"/>
    <w:qFormat/>
    <w:pPr/>
    <w:rPr>
      <w:b/>
      <w:bCs/>
    </w:rPr>
  </w:style>
  <w:style w:type="paragraph" w:styleId="PodTablePara">
    <w:name w:val="podTablePara"/>
    <w:basedOn w:val="Tablecell"/>
    <w:qFormat/>
    <w:pPr/>
    <w:rPr>
      <w:b w:val="false"/>
      <w:bCs w:val="false"/>
      <w:sz w:val="16"/>
    </w:rPr>
  </w:style>
  <w:style w:type="paragraph" w:styleId="PodTableParaBold">
    <w:name w:val="podTableParaBold"/>
    <w:basedOn w:val="Tablecell"/>
    <w:qFormat/>
    <w:pPr/>
    <w:rPr>
      <w:b/>
      <w:bCs/>
      <w:sz w:val="16"/>
    </w:rPr>
  </w:style>
  <w:style w:type="paragraph" w:styleId="PodTableParaRight">
    <w:name w:val="podTableParaRight"/>
    <w:basedOn w:val="Tablecell"/>
    <w:qFormat/>
    <w:pPr>
      <w:jc w:val="right"/>
    </w:pPr>
    <w:rPr>
      <w:b w:val="false"/>
      <w:bCs w:val="false"/>
      <w:sz w:val="16"/>
    </w:rPr>
  </w:style>
  <w:style w:type="paragraph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yle9">
    <w:name w:val="обычный приложения"/>
    <w:basedOn w:val="Normal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1">
    <w:name w:val="АР Прил 2"/>
    <w:basedOn w:val="Style9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2">
    <w:name w:val="Рег. Заголовок 2-го уровня регламента"/>
    <w:basedOn w:val="Normal"/>
    <w:qFormat/>
    <w:pPr>
      <w:numPr>
        <w:ilvl w:val="0"/>
        <w:numId w:val="0"/>
      </w:numPr>
      <w:spacing w:lineRule="auto" w:line="240" w:before="0" w:after="0"/>
      <w:jc w:val="center"/>
      <w:outlineLvl w:val="1"/>
    </w:pPr>
    <w:rPr>
      <w:rFonts w:ascii="Times New Roman" w:hAnsi="Times New Roman" w:eastAsia="Calibri"/>
      <w:b/>
      <w:bCs/>
      <w:sz w:val="24"/>
      <w:szCs w:val="24"/>
    </w:rPr>
  </w:style>
  <w:style w:type="paragraph" w:styleId="Footnote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TableHeading1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PodBulletedList">
    <w:name w:val="podBulletedList"/>
    <w:qFormat/>
  </w:style>
  <w:style w:type="numbering" w:styleId="PodNumberedList">
    <w:name w:val="podNumbered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6554</TotalTime>
  <Application>LibreOffice/7.4.7.2$Linux_X86_64 LibreOffice_project/40$Build-2</Application>
  <AppVersion>15.0000</AppVersion>
  <Pages>1</Pages>
  <Words>110</Words>
  <Characters>1050</Characters>
  <CharactersWithSpaces>1138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2023-05-12T14:59:09Z</dcterms:created>
  <dc:creator/>
  <dc:description/>
  <dc:language>en-US</dc:language>
  <cp:lastModifiedBy/>
  <dcterms:modified xsi:type="dcterms:W3CDTF">2025-01-21T17:25:00Z</dcterms:modified>
  <cp:revision>101</cp:revision>
  <dc:subject/>
  <dc:title/>
</cp:coreProperties>
</file>