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AA" w:rsidRPr="008C74F9" w:rsidRDefault="00B24AAA" w:rsidP="00C65A29">
      <w:pPr>
        <w:pStyle w:val="ConsPlusNormal"/>
        <w:shd w:val="clear" w:color="auto" w:fill="FFFFFF"/>
        <w:ind w:firstLine="9923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</w:p>
    <w:p w:rsidR="001771A1" w:rsidRDefault="00B24AAA" w:rsidP="001771A1">
      <w:pPr>
        <w:pStyle w:val="ConsPlusNormal"/>
        <w:shd w:val="clear" w:color="auto" w:fill="FFFFFF"/>
        <w:ind w:left="9912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Одинцовского городского округа</w:t>
      </w:r>
    </w:p>
    <w:p w:rsidR="001771A1" w:rsidRDefault="001771A1" w:rsidP="001771A1">
      <w:pPr>
        <w:pStyle w:val="ConsPlusNormal"/>
        <w:shd w:val="clear" w:color="auto" w:fill="FFFFFF"/>
        <w:ind w:left="9912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:rsidR="001771A1" w:rsidRDefault="00B24AAA" w:rsidP="0096519F">
      <w:pPr>
        <w:pStyle w:val="ConsPlusNormal"/>
        <w:shd w:val="clear" w:color="auto" w:fill="FFFFFF"/>
        <w:ind w:left="9912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6519F">
        <w:rPr>
          <w:rFonts w:ascii="Times New Roman" w:hAnsi="Times New Roman" w:cs="Times New Roman"/>
          <w:color w:val="000000" w:themeColor="text1"/>
          <w:sz w:val="28"/>
          <w:szCs w:val="28"/>
        </w:rPr>
        <w:t>30.12.2025</w:t>
      </w: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6519F">
        <w:rPr>
          <w:rFonts w:ascii="Times New Roman" w:hAnsi="Times New Roman" w:cs="Times New Roman"/>
          <w:color w:val="000000" w:themeColor="text1"/>
          <w:sz w:val="28"/>
          <w:szCs w:val="28"/>
        </w:rPr>
        <w:t>8577</w:t>
      </w:r>
    </w:p>
    <w:p w:rsidR="0096519F" w:rsidRDefault="0096519F" w:rsidP="0096519F">
      <w:pPr>
        <w:pStyle w:val="ConsPlusNormal"/>
        <w:shd w:val="clear" w:color="auto" w:fill="FFFFFF"/>
        <w:ind w:left="9912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24AAA" w:rsidRPr="008C74F9" w:rsidRDefault="00B24AAA" w:rsidP="00B24AAA">
      <w:pPr>
        <w:pStyle w:val="ConsPlusNormal"/>
        <w:shd w:val="clear" w:color="auto" w:fill="FFFFFF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Карта </w:t>
      </w:r>
    </w:p>
    <w:p w:rsidR="00B24AAA" w:rsidRPr="008C74F9" w:rsidRDefault="00B24AAA" w:rsidP="00B24AAA">
      <w:pPr>
        <w:pStyle w:val="ConsPlusNormal"/>
        <w:shd w:val="clear" w:color="auto" w:fill="FFFFFF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-рисков нарушений антимонопольного законодательства </w:t>
      </w:r>
    </w:p>
    <w:p w:rsidR="00B24AAA" w:rsidRPr="008C74F9" w:rsidRDefault="00B24AAA" w:rsidP="00B24AAA">
      <w:pPr>
        <w:pStyle w:val="ConsPlusNormal"/>
        <w:shd w:val="clear" w:color="auto" w:fill="FFFFFF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Администрации Одинцовского городского округа </w:t>
      </w:r>
      <w:r w:rsidR="00AB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673C3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B24AAA" w:rsidRPr="008C74F9" w:rsidRDefault="00B24AAA" w:rsidP="00B24AAA">
      <w:pPr>
        <w:pStyle w:val="ConsPlusNormal"/>
        <w:shd w:val="clear" w:color="auto" w:fill="FFFFFF"/>
        <w:ind w:left="11340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693"/>
        <w:gridCol w:w="3686"/>
        <w:gridCol w:w="3402"/>
        <w:gridCol w:w="1701"/>
        <w:gridCol w:w="1276"/>
      </w:tblGrid>
      <w:tr w:rsidR="008C74F9" w:rsidRPr="0003719A" w:rsidTr="0003719A">
        <w:trPr>
          <w:trHeight w:val="701"/>
        </w:trPr>
        <w:tc>
          <w:tcPr>
            <w:tcW w:w="709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701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Уровень риска</w:t>
            </w:r>
          </w:p>
        </w:tc>
        <w:tc>
          <w:tcPr>
            <w:tcW w:w="2693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Вид риска (описание)</w:t>
            </w:r>
          </w:p>
        </w:tc>
        <w:tc>
          <w:tcPr>
            <w:tcW w:w="3686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Причины и условия возникновения (описание)</w:t>
            </w:r>
          </w:p>
        </w:tc>
        <w:tc>
          <w:tcPr>
            <w:tcW w:w="3402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Общие меры по минимизации и устранению рисков</w:t>
            </w:r>
          </w:p>
        </w:tc>
        <w:tc>
          <w:tcPr>
            <w:tcW w:w="1701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Наличие (отсутствие) остаточных рисков</w:t>
            </w:r>
          </w:p>
        </w:tc>
        <w:tc>
          <w:tcPr>
            <w:tcW w:w="1276" w:type="dxa"/>
          </w:tcPr>
          <w:p w:rsidR="00B24AAA" w:rsidRPr="0003719A" w:rsidRDefault="00B24AAA" w:rsidP="0003719A">
            <w:pPr>
              <w:pStyle w:val="ConsPlusNormal"/>
              <w:shd w:val="clear" w:color="auto" w:fill="FFFFFF"/>
              <w:spacing w:line="216" w:lineRule="auto"/>
              <w:ind w:left="-3" w:hanging="105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719A">
              <w:rPr>
                <w:rFonts w:ascii="Times New Roman" w:hAnsi="Times New Roman" w:cs="Times New Roman"/>
                <w:color w:val="000000" w:themeColor="text1"/>
                <w:sz w:val="20"/>
              </w:rPr>
              <w:t>Вероятность повторного возникновения рисков</w:t>
            </w:r>
          </w:p>
        </w:tc>
      </w:tr>
      <w:tr w:rsidR="001771A1" w:rsidRPr="008C74F9" w:rsidTr="0003719A">
        <w:trPr>
          <w:trHeight w:val="238"/>
        </w:trPr>
        <w:tc>
          <w:tcPr>
            <w:tcW w:w="709" w:type="dxa"/>
          </w:tcPr>
          <w:p w:rsidR="001771A1" w:rsidRPr="008C74F9" w:rsidRDefault="001771A1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</w:tcPr>
          <w:p w:rsidR="001771A1" w:rsidRPr="008C74F9" w:rsidRDefault="001771A1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693" w:type="dxa"/>
          </w:tcPr>
          <w:p w:rsidR="001771A1" w:rsidRPr="008C74F9" w:rsidRDefault="001771A1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3686" w:type="dxa"/>
          </w:tcPr>
          <w:p w:rsidR="001771A1" w:rsidRPr="008C74F9" w:rsidRDefault="001771A1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3402" w:type="dxa"/>
          </w:tcPr>
          <w:p w:rsidR="001771A1" w:rsidRPr="008C74F9" w:rsidRDefault="001771A1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01" w:type="dxa"/>
          </w:tcPr>
          <w:p w:rsidR="001771A1" w:rsidRPr="008C74F9" w:rsidRDefault="001771A1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276" w:type="dxa"/>
          </w:tcPr>
          <w:p w:rsidR="001771A1" w:rsidRPr="008C74F9" w:rsidRDefault="001771A1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</w:tr>
      <w:tr w:rsidR="008C74F9" w:rsidRPr="008C74F9" w:rsidTr="0003719A">
        <w:trPr>
          <w:trHeight w:val="2283"/>
        </w:trPr>
        <w:tc>
          <w:tcPr>
            <w:tcW w:w="709" w:type="dxa"/>
          </w:tcPr>
          <w:p w:rsidR="00B24AAA" w:rsidRPr="008C74F9" w:rsidRDefault="001771A1" w:rsidP="00F91DA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24AAA" w:rsidRPr="008C74F9" w:rsidRDefault="001771A1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B24AAA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езначительный</w:t>
            </w:r>
          </w:p>
        </w:tc>
        <w:tc>
          <w:tcPr>
            <w:tcW w:w="2693" w:type="dxa"/>
          </w:tcPr>
          <w:p w:rsidR="00B24AAA" w:rsidRPr="008C74F9" w:rsidRDefault="00B24AAA" w:rsidP="00F91DA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Утверждение нормативных правовых актов 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Администрации Одинцовского городского округа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Московской области</w:t>
            </w:r>
            <w:r w:rsidR="0003719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(далее – Администрации)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в которых имеются риски нарушения антимонопольного законодательства</w:t>
            </w:r>
          </w:p>
        </w:tc>
        <w:tc>
          <w:tcPr>
            <w:tcW w:w="3686" w:type="dxa"/>
          </w:tcPr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Недостаточная квалификация 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работников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или недостаточный опыт 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работников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Ненадлежащий уровень экспертизы и анализа проектов нормативных правовых актов на предмет соответствия нормам антимонопольного законодательства.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Ошибочное применение норм права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24AAA" w:rsidRPr="008C74F9" w:rsidRDefault="00B24AAA" w:rsidP="00F91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Совершенствован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ие системы внутреннего контроля</w:t>
            </w:r>
          </w:p>
          <w:p w:rsidR="00B24AAA" w:rsidRPr="008C74F9" w:rsidRDefault="00B24AAA" w:rsidP="00F91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4AAA" w:rsidRPr="008C74F9" w:rsidRDefault="00B24AAA" w:rsidP="00177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Размещение разработанных проектов нормативных прав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овых актов на официальном сайте 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Одинцовского городского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округа в информационно-телекоммуникационной сети 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Интернет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целью обеспечения оценки их влияния на развитие конкуренции</w:t>
            </w:r>
          </w:p>
        </w:tc>
        <w:tc>
          <w:tcPr>
            <w:tcW w:w="1701" w:type="dxa"/>
            <w:vAlign w:val="center"/>
          </w:tcPr>
          <w:p w:rsidR="00B24AAA" w:rsidRPr="008C74F9" w:rsidRDefault="001771A1" w:rsidP="00126AE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>О</w:t>
            </w:r>
            <w:r w:rsidR="00B24AAA" w:rsidRPr="008C74F9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>тсутствует</w:t>
            </w:r>
          </w:p>
        </w:tc>
        <w:tc>
          <w:tcPr>
            <w:tcW w:w="1276" w:type="dxa"/>
            <w:vAlign w:val="center"/>
          </w:tcPr>
          <w:p w:rsidR="00B24AAA" w:rsidRPr="008C74F9" w:rsidRDefault="001771A1" w:rsidP="00126AE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B24AAA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изкая</w:t>
            </w:r>
          </w:p>
        </w:tc>
      </w:tr>
      <w:tr w:rsidR="008C74F9" w:rsidRPr="008C74F9" w:rsidTr="0003719A">
        <w:trPr>
          <w:trHeight w:val="834"/>
        </w:trPr>
        <w:tc>
          <w:tcPr>
            <w:tcW w:w="709" w:type="dxa"/>
          </w:tcPr>
          <w:p w:rsidR="00B24AAA" w:rsidRPr="008C74F9" w:rsidRDefault="001771A1" w:rsidP="00F91DA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24AAA" w:rsidRPr="008C74F9" w:rsidRDefault="001771A1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B24AAA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езначительный</w:t>
            </w:r>
          </w:p>
        </w:tc>
        <w:tc>
          <w:tcPr>
            <w:tcW w:w="2693" w:type="dxa"/>
          </w:tcPr>
          <w:p w:rsidR="00B24AAA" w:rsidRPr="008C74F9" w:rsidRDefault="00B24AAA" w:rsidP="001771A1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при осуществлении закупок товаров, работ, услуг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для нужд 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Одинцовского городского округа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повлекшее за собой нарушение антимонопольного законодательства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Утверждение закупочной документации с нарушением требований к описанию объекта закупки, влекущее за собой ограничение количества участников.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Нарушение порядка определения и обоснования начально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 (максимальной) цены контракта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Нарушение при выборе способа определения поставщика (подрядчика, исполнителя)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Нарушени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при проведении процедуры определения поставщиков (подрядчиков, исполнителей)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Возможность возникновения конфликта интересов</w:t>
            </w:r>
          </w:p>
        </w:tc>
        <w:tc>
          <w:tcPr>
            <w:tcW w:w="3402" w:type="dxa"/>
          </w:tcPr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арственных и муниципальных нужд</w:t>
            </w:r>
          </w:p>
          <w:p w:rsidR="00B24AAA" w:rsidRPr="008C74F9" w:rsidRDefault="00B24AAA" w:rsidP="00AF63B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Мониторинг изменений законодательства</w:t>
            </w:r>
            <w:r w:rsidR="0079234D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Российской Федерации и иных нормативных правовых актов о контрактной системе в сфере закупок товаров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работ, услуг для обеспечения государственных 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муниципальных нужд</w:t>
            </w:r>
          </w:p>
        </w:tc>
        <w:tc>
          <w:tcPr>
            <w:tcW w:w="1701" w:type="dxa"/>
            <w:vAlign w:val="center"/>
          </w:tcPr>
          <w:p w:rsidR="00B24AAA" w:rsidRPr="008C74F9" w:rsidRDefault="001771A1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lastRenderedPageBreak/>
              <w:t>О</w:t>
            </w:r>
            <w:r w:rsidR="00B24AAA" w:rsidRPr="008C74F9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>тсутствует</w:t>
            </w:r>
          </w:p>
        </w:tc>
        <w:tc>
          <w:tcPr>
            <w:tcW w:w="1276" w:type="dxa"/>
            <w:vAlign w:val="center"/>
          </w:tcPr>
          <w:p w:rsidR="00B24AAA" w:rsidRPr="008C74F9" w:rsidRDefault="001771A1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B24AAA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изкая</w:t>
            </w:r>
          </w:p>
        </w:tc>
      </w:tr>
      <w:tr w:rsidR="008C74F9" w:rsidRPr="008C74F9" w:rsidTr="0003719A">
        <w:trPr>
          <w:trHeight w:val="1691"/>
        </w:trPr>
        <w:tc>
          <w:tcPr>
            <w:tcW w:w="709" w:type="dxa"/>
          </w:tcPr>
          <w:p w:rsidR="00B24AAA" w:rsidRPr="008C74F9" w:rsidRDefault="00B24AAA" w:rsidP="001771A1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B24AAA" w:rsidRPr="008C74F9" w:rsidRDefault="001771A1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ысокий</w:t>
            </w:r>
          </w:p>
        </w:tc>
        <w:tc>
          <w:tcPr>
            <w:tcW w:w="2693" w:type="dxa"/>
          </w:tcPr>
          <w:p w:rsidR="00B24AAA" w:rsidRPr="008C74F9" w:rsidRDefault="00B24AAA" w:rsidP="0003719A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Нарушение при проведении открытого конкурса по отбору управляющей организации для управления многоквартирными домами </w:t>
            </w:r>
          </w:p>
        </w:tc>
        <w:tc>
          <w:tcPr>
            <w:tcW w:w="3686" w:type="dxa"/>
          </w:tcPr>
          <w:p w:rsidR="00B24AAA" w:rsidRPr="0003719A" w:rsidRDefault="00B24AAA" w:rsidP="000371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Нарушение процедуры организации или </w:t>
            </w:r>
            <w:r w:rsidR="0079234D" w:rsidRPr="008C74F9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проведения </w:t>
            </w:r>
            <w:r w:rsidR="0079234D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открытого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конкурса по отбору управляющей организации для управления </w:t>
            </w:r>
            <w:r w:rsidR="0079234D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многоквартирными домами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9234D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установленного Правилами</w:t>
            </w:r>
            <w:r w:rsidR="0003719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</w:t>
            </w:r>
            <w:r w:rsidR="0079234D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утвержденными Постановлением Правительства Р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оссийской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едерации </w:t>
            </w:r>
            <w:r w:rsidR="001771A1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 06.02.2006</w:t>
            </w:r>
            <w:r w:rsidR="001771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75 </w:t>
            </w:r>
          </w:p>
        </w:tc>
        <w:tc>
          <w:tcPr>
            <w:tcW w:w="3402" w:type="dxa"/>
          </w:tcPr>
          <w:p w:rsidR="00B24AAA" w:rsidRPr="008C74F9" w:rsidRDefault="00B24AAA" w:rsidP="00A00B9F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Повышение квалификации у </w:t>
            </w:r>
            <w:r w:rsidR="000371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работников </w:t>
            </w: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в части знаний антимонопольного законодательства.</w:t>
            </w:r>
          </w:p>
          <w:p w:rsidR="00B24AAA" w:rsidRPr="008C74F9" w:rsidRDefault="00B24AAA" w:rsidP="0003719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Усиление внутреннего контроля за соблюдением </w:t>
            </w:r>
            <w:r w:rsidR="0003719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работниками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Администрации антимонопольного законодательства.</w:t>
            </w:r>
          </w:p>
        </w:tc>
        <w:tc>
          <w:tcPr>
            <w:tcW w:w="1701" w:type="dxa"/>
            <w:vAlign w:val="center"/>
          </w:tcPr>
          <w:p w:rsidR="00B24AAA" w:rsidRPr="008C74F9" w:rsidRDefault="001771A1" w:rsidP="001771A1">
            <w:pPr>
              <w:pStyle w:val="ConsPlusNormal"/>
              <w:shd w:val="clear" w:color="auto" w:fill="FFFFFF"/>
              <w:spacing w:before="60" w:after="200"/>
              <w:ind w:hanging="35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М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аловероятно</w:t>
            </w:r>
          </w:p>
        </w:tc>
        <w:tc>
          <w:tcPr>
            <w:tcW w:w="1276" w:type="dxa"/>
            <w:vAlign w:val="center"/>
          </w:tcPr>
          <w:p w:rsidR="00B24AAA" w:rsidRPr="008C74F9" w:rsidRDefault="001771A1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изкая</w:t>
            </w:r>
          </w:p>
        </w:tc>
      </w:tr>
      <w:tr w:rsidR="008C74F9" w:rsidRPr="008C74F9" w:rsidTr="0003719A">
        <w:trPr>
          <w:trHeight w:val="1756"/>
        </w:trPr>
        <w:tc>
          <w:tcPr>
            <w:tcW w:w="709" w:type="dxa"/>
          </w:tcPr>
          <w:p w:rsidR="00B24AAA" w:rsidRPr="008C74F9" w:rsidRDefault="00B24AAA" w:rsidP="001771A1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24AAA" w:rsidRPr="008C74F9" w:rsidRDefault="001771A1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езначительный</w:t>
            </w:r>
          </w:p>
        </w:tc>
        <w:tc>
          <w:tcPr>
            <w:tcW w:w="2693" w:type="dxa"/>
          </w:tcPr>
          <w:p w:rsidR="00B24AAA" w:rsidRPr="008C74F9" w:rsidRDefault="00B24AAA" w:rsidP="0003719A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Нарушени</w:t>
            </w:r>
            <w:r w:rsidR="0003719A">
              <w:rPr>
                <w:rFonts w:ascii="Times New Roman" w:hAnsi="Times New Roman" w:cs="Times New Roman"/>
                <w:color w:val="000000" w:themeColor="text1"/>
                <w:sz w:val="20"/>
              </w:rPr>
              <w:t>е</w:t>
            </w: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при владении, пользовании и распоряжении муниципальным</w:t>
            </w:r>
            <w:r w:rsidR="007564EC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имуществом, повлекшее за собой нарушение антимонопольного законодательства</w:t>
            </w:r>
          </w:p>
        </w:tc>
        <w:tc>
          <w:tcPr>
            <w:tcW w:w="3686" w:type="dxa"/>
          </w:tcPr>
          <w:p w:rsidR="00B24AAA" w:rsidRPr="008C74F9" w:rsidRDefault="00B24AAA" w:rsidP="00E9356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Заключение договоров </w:t>
            </w:r>
            <w:r w:rsidR="00E93564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аренды, </w:t>
            </w:r>
            <w:r w:rsidR="00E9356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договоров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купли-продажи земельных участков,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договоров безвозмездного пользования, договоров доверительного управления имуществом, </w:t>
            </w:r>
            <w:r w:rsidR="00E93564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иных договоров,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предусматривающих переход права владения и (или) пользования в отношении муниципального имущества, без проведения торгов влекущее за собой возникновение препятствий в развитии конкуренции, ущемление интересов хозяйствующих субъектов, </w:t>
            </w:r>
            <w:r w:rsidR="00E93564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граждан,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желающих получить такие права </w:t>
            </w:r>
            <w:proofErr w:type="gramStart"/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 муниципаль</w:t>
            </w:r>
            <w:r w:rsidR="0003719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ное имуществ</w:t>
            </w:r>
            <w:proofErr w:type="gramEnd"/>
            <w:r w:rsidR="0003719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 земельные участки</w:t>
            </w:r>
          </w:p>
          <w:p w:rsidR="00B24AAA" w:rsidRPr="008C74F9" w:rsidRDefault="00B24AAA" w:rsidP="00B03B4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Нарушение конкурентных принципов предоставления </w:t>
            </w:r>
            <w:r w:rsidR="00E93564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во владение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(или) пользование муниципальной собственности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Утверждение конкурсной, аукционной документации с нарушением требований к предмету и участникам торгов, влекущее за собой ограничение </w:t>
            </w: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количества участников торгов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Создание преимущественных условий для </w:t>
            </w:r>
            <w:r w:rsidR="002C48D4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каких-либо</w:t>
            </w: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участников, если иное не предусмотрено законодательством Российской Федерации</w:t>
            </w:r>
          </w:p>
          <w:p w:rsidR="00B24AAA" w:rsidRPr="008C74F9" w:rsidRDefault="00B24AAA" w:rsidP="00AE5B02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Приватизация муниципального имущества с наруше</w:t>
            </w:r>
            <w:r w:rsidR="0003719A">
              <w:rPr>
                <w:rFonts w:ascii="Times New Roman" w:hAnsi="Times New Roman" w:cs="Times New Roman"/>
                <w:color w:val="000000" w:themeColor="text1"/>
                <w:sz w:val="20"/>
              </w:rPr>
              <w:t>нием установленных требований</w:t>
            </w:r>
          </w:p>
        </w:tc>
        <w:tc>
          <w:tcPr>
            <w:tcW w:w="3402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Мониторинг изменений законодательства в сфере зе</w:t>
            </w:r>
            <w:r w:rsidR="0003719A">
              <w:rPr>
                <w:rFonts w:ascii="Times New Roman" w:hAnsi="Times New Roman" w:cs="Times New Roman"/>
                <w:color w:val="000000" w:themeColor="text1"/>
                <w:sz w:val="20"/>
              </w:rPr>
              <w:t>мельно- имущественных отношений</w:t>
            </w:r>
          </w:p>
          <w:p w:rsidR="00B24AAA" w:rsidRPr="008C74F9" w:rsidRDefault="00B24AAA" w:rsidP="00F91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Внутренний контроль за соблюдением требований ан</w:t>
            </w:r>
            <w:r w:rsidR="0003719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тимонопольного законодательства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24AAA" w:rsidRPr="008C74F9" w:rsidRDefault="001771A1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О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 xml:space="preserve">тсутствует </w:t>
            </w:r>
          </w:p>
        </w:tc>
        <w:tc>
          <w:tcPr>
            <w:tcW w:w="1276" w:type="dxa"/>
            <w:vAlign w:val="center"/>
          </w:tcPr>
          <w:p w:rsidR="00B24AAA" w:rsidRPr="008C74F9" w:rsidRDefault="001771A1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изкая</w:t>
            </w:r>
          </w:p>
        </w:tc>
      </w:tr>
      <w:tr w:rsidR="008C74F9" w:rsidRPr="008C74F9" w:rsidTr="0003719A">
        <w:trPr>
          <w:trHeight w:val="1350"/>
        </w:trPr>
        <w:tc>
          <w:tcPr>
            <w:tcW w:w="709" w:type="dxa"/>
          </w:tcPr>
          <w:p w:rsidR="00B24AAA" w:rsidRPr="008C74F9" w:rsidRDefault="0003719A" w:rsidP="00F91DA0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</w:tcPr>
          <w:p w:rsidR="00B24AAA" w:rsidRPr="008C74F9" w:rsidRDefault="0003719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езначительный</w:t>
            </w:r>
          </w:p>
        </w:tc>
        <w:tc>
          <w:tcPr>
            <w:tcW w:w="2693" w:type="dxa"/>
          </w:tcPr>
          <w:p w:rsidR="00B24AAA" w:rsidRPr="008C74F9" w:rsidRDefault="00B35CA5" w:rsidP="0003719A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35CA5">
              <w:rPr>
                <w:rFonts w:ascii="Times New Roman" w:hAnsi="Times New Roman" w:cs="Times New Roman"/>
                <w:color w:val="000000" w:themeColor="text1"/>
                <w:sz w:val="20"/>
              </w:rPr>
              <w:t>Предоставление из бюджета</w:t>
            </w:r>
            <w:r w:rsidR="000371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Одинцовского </w:t>
            </w:r>
            <w:r w:rsidRPr="00B35CA5">
              <w:rPr>
                <w:rFonts w:ascii="Times New Roman" w:hAnsi="Times New Roman" w:cs="Times New Roman"/>
                <w:color w:val="000000" w:themeColor="text1"/>
                <w:sz w:val="20"/>
              </w:rPr>
              <w:t>округа субсидий юридическим лицам (за исключением субсидий муниципальным учреждениям), индивидуальным предпринимателям, физическим лицам с нарушением требований антимонопольного законодательства</w:t>
            </w:r>
          </w:p>
        </w:tc>
        <w:tc>
          <w:tcPr>
            <w:tcW w:w="3686" w:type="dxa"/>
          </w:tcPr>
          <w:p w:rsidR="00FB0A69" w:rsidRPr="00FB0A69" w:rsidRDefault="00FB0A69" w:rsidP="0003719A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B0A69">
              <w:rPr>
                <w:rFonts w:ascii="Times New Roman" w:hAnsi="Times New Roman" w:cs="Times New Roman"/>
                <w:color w:val="000000" w:themeColor="text1"/>
                <w:sz w:val="20"/>
              </w:rPr>
              <w:t>Ошибочное применение</w:t>
            </w:r>
          </w:p>
          <w:p w:rsidR="00FB0A69" w:rsidRPr="00FB0A69" w:rsidRDefault="0003719A" w:rsidP="0003719A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норм права</w:t>
            </w:r>
          </w:p>
          <w:p w:rsidR="0003719A" w:rsidRDefault="0003719A" w:rsidP="0003719A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03719A" w:rsidRDefault="0003719A" w:rsidP="0003719A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="00FB0A69" w:rsidRPr="00FB0A69">
              <w:rPr>
                <w:rFonts w:ascii="Times New Roman" w:hAnsi="Times New Roman" w:cs="Times New Roman"/>
                <w:color w:val="000000" w:themeColor="text1"/>
                <w:sz w:val="20"/>
              </w:rPr>
              <w:t>аличие личной заинтересованности</w:t>
            </w:r>
          </w:p>
          <w:p w:rsidR="0003719A" w:rsidRDefault="0003719A" w:rsidP="0003719A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24AAA" w:rsidRPr="008C74F9" w:rsidRDefault="0003719A" w:rsidP="0003719A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</w:t>
            </w:r>
            <w:r w:rsidR="00FB0A69" w:rsidRPr="00FB0A69">
              <w:rPr>
                <w:rFonts w:ascii="Times New Roman" w:hAnsi="Times New Roman" w:cs="Times New Roman"/>
                <w:color w:val="000000" w:themeColor="text1"/>
                <w:sz w:val="20"/>
              </w:rPr>
              <w:t>онфликт интересов</w:t>
            </w:r>
          </w:p>
        </w:tc>
        <w:tc>
          <w:tcPr>
            <w:tcW w:w="3402" w:type="dxa"/>
          </w:tcPr>
          <w:p w:rsidR="0003719A" w:rsidRDefault="00FB0A69" w:rsidP="00F91DA0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B0A69">
              <w:rPr>
                <w:rFonts w:ascii="Times New Roman" w:hAnsi="Times New Roman" w:cs="Times New Roman"/>
                <w:color w:val="000000" w:themeColor="text1"/>
                <w:sz w:val="20"/>
              </w:rPr>
              <w:t>Проведение экспертизы проектов соглашений (дополнительных соглашений) о предоставлении субсидий на предмет соответствия ан</w:t>
            </w:r>
            <w:r w:rsidR="0003719A">
              <w:rPr>
                <w:rFonts w:ascii="Times New Roman" w:hAnsi="Times New Roman" w:cs="Times New Roman"/>
                <w:color w:val="000000" w:themeColor="text1"/>
                <w:sz w:val="20"/>
              </w:rPr>
              <w:t>тимонопольному законодательству</w:t>
            </w:r>
          </w:p>
          <w:p w:rsidR="00B24AAA" w:rsidRPr="008C74F9" w:rsidRDefault="0003719A" w:rsidP="00F91DA0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r w:rsidR="00FB0A69" w:rsidRPr="00FB0A69">
              <w:rPr>
                <w:rFonts w:ascii="Times New Roman" w:hAnsi="Times New Roman" w:cs="Times New Roman"/>
                <w:color w:val="000000" w:themeColor="text1"/>
                <w:sz w:val="20"/>
              </w:rPr>
              <w:t>роведение мониторинга и анализа практики применения антимонопольного законодательства</w:t>
            </w:r>
          </w:p>
        </w:tc>
        <w:tc>
          <w:tcPr>
            <w:tcW w:w="1701" w:type="dxa"/>
            <w:vAlign w:val="center"/>
          </w:tcPr>
          <w:p w:rsidR="00B24AAA" w:rsidRPr="008C74F9" w:rsidRDefault="0003719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О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тсутствуют</w:t>
            </w:r>
          </w:p>
        </w:tc>
        <w:tc>
          <w:tcPr>
            <w:tcW w:w="1276" w:type="dxa"/>
            <w:vAlign w:val="center"/>
          </w:tcPr>
          <w:p w:rsidR="00B24AAA" w:rsidRPr="008C74F9" w:rsidRDefault="0003719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изкая</w:t>
            </w:r>
          </w:p>
        </w:tc>
      </w:tr>
      <w:tr w:rsidR="008C74F9" w:rsidRPr="008C74F9" w:rsidTr="0003719A">
        <w:trPr>
          <w:trHeight w:val="125"/>
        </w:trPr>
        <w:tc>
          <w:tcPr>
            <w:tcW w:w="709" w:type="dxa"/>
          </w:tcPr>
          <w:p w:rsidR="00B24AAA" w:rsidRPr="008C74F9" w:rsidRDefault="00B24AAA" w:rsidP="00F91DA0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24AAA" w:rsidRPr="008C74F9" w:rsidRDefault="0003719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езначительный</w:t>
            </w:r>
          </w:p>
        </w:tc>
        <w:tc>
          <w:tcPr>
            <w:tcW w:w="2693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Возникновение конфликта интересов в деятельности муниципальных служащих. Несоблюдение муниципальными служащими обязанностей по принятию мер по предотвращению и урегулированию конфликта интересов предусмотренных законодательством РФ о противодействии коррупции</w:t>
            </w:r>
          </w:p>
        </w:tc>
        <w:tc>
          <w:tcPr>
            <w:tcW w:w="3686" w:type="dxa"/>
          </w:tcPr>
          <w:p w:rsidR="00B24AAA" w:rsidRPr="008C74F9" w:rsidRDefault="00B24AAA" w:rsidP="00F91D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Нарушение действующих норм, ограничений </w:t>
            </w:r>
            <w:r w:rsidR="00AF18C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запретов,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установленных законодательством о муниципальной службе и </w:t>
            </w:r>
            <w:r w:rsidR="0003719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 противодействии коррупции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02" w:type="dxa"/>
          </w:tcPr>
          <w:p w:rsidR="00B24AAA" w:rsidRPr="008C74F9" w:rsidRDefault="00B24AAA" w:rsidP="00F91D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Разъяснение норм законодательства о муниципальной службе и противодействию коррупции при приеме н</w:t>
            </w:r>
            <w:r w:rsidR="0003719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 работу муниципальных служащих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24AAA" w:rsidRPr="008C74F9" w:rsidRDefault="00B24AAA" w:rsidP="00F91D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253" w:rsidRPr="008C74F9" w:rsidRDefault="00286253" w:rsidP="00F91D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4AAA" w:rsidRPr="008C74F9" w:rsidRDefault="0003719A" w:rsidP="00F91D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="00B24AAA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аловероятно</w:t>
            </w:r>
          </w:p>
        </w:tc>
        <w:tc>
          <w:tcPr>
            <w:tcW w:w="1276" w:type="dxa"/>
            <w:vAlign w:val="center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24AAA" w:rsidRPr="008C74F9" w:rsidRDefault="0003719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="00B24AAA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изкая</w:t>
            </w:r>
          </w:p>
        </w:tc>
      </w:tr>
    </w:tbl>
    <w:p w:rsidR="00E81BD7" w:rsidRPr="0043142C" w:rsidRDefault="00E81BD7" w:rsidP="004314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42C" w:rsidRPr="0043142C" w:rsidRDefault="0043142C" w:rsidP="004314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Главы Одинцовского городского округа – </w:t>
      </w:r>
    </w:p>
    <w:p w:rsidR="0003719A" w:rsidRDefault="0043142C" w:rsidP="004314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Управления правового обеспечения </w:t>
      </w:r>
    </w:p>
    <w:p w:rsidR="0043142C" w:rsidRPr="0043142C" w:rsidRDefault="0003719A" w:rsidP="004314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Одинцовского городского округа         </w:t>
      </w:r>
      <w:r w:rsidR="0043142C" w:rsidRPr="0043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43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="0043142C" w:rsidRPr="0043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А.А. </w:t>
      </w:r>
      <w:proofErr w:type="spellStart"/>
      <w:r w:rsidR="0043142C" w:rsidRPr="0043142C">
        <w:rPr>
          <w:rFonts w:ascii="Times New Roman" w:hAnsi="Times New Roman" w:cs="Times New Roman"/>
          <w:color w:val="000000" w:themeColor="text1"/>
          <w:sz w:val="24"/>
          <w:szCs w:val="24"/>
        </w:rPr>
        <w:t>Тесля</w:t>
      </w:r>
      <w:proofErr w:type="spellEnd"/>
    </w:p>
    <w:p w:rsidR="0043142C" w:rsidRPr="008C74F9" w:rsidRDefault="0043142C">
      <w:pPr>
        <w:rPr>
          <w:color w:val="000000" w:themeColor="text1"/>
        </w:rPr>
      </w:pPr>
    </w:p>
    <w:sectPr w:rsidR="0043142C" w:rsidRPr="008C74F9" w:rsidSect="0003719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7C"/>
    <w:rsid w:val="00017DCD"/>
    <w:rsid w:val="0003719A"/>
    <w:rsid w:val="000A05B8"/>
    <w:rsid w:val="00126AE4"/>
    <w:rsid w:val="00131188"/>
    <w:rsid w:val="001771A1"/>
    <w:rsid w:val="00286253"/>
    <w:rsid w:val="002C48D4"/>
    <w:rsid w:val="00316065"/>
    <w:rsid w:val="00317A99"/>
    <w:rsid w:val="0043142C"/>
    <w:rsid w:val="0052047E"/>
    <w:rsid w:val="005364BA"/>
    <w:rsid w:val="005B7058"/>
    <w:rsid w:val="00646330"/>
    <w:rsid w:val="00673C3B"/>
    <w:rsid w:val="007564EC"/>
    <w:rsid w:val="0079234D"/>
    <w:rsid w:val="007B1992"/>
    <w:rsid w:val="008C74F9"/>
    <w:rsid w:val="009642E6"/>
    <w:rsid w:val="0096519F"/>
    <w:rsid w:val="00A00B9F"/>
    <w:rsid w:val="00AB2EF1"/>
    <w:rsid w:val="00AB58BC"/>
    <w:rsid w:val="00AE5B02"/>
    <w:rsid w:val="00AF18C4"/>
    <w:rsid w:val="00AF63BA"/>
    <w:rsid w:val="00B03B4B"/>
    <w:rsid w:val="00B24AAA"/>
    <w:rsid w:val="00B35CA5"/>
    <w:rsid w:val="00C65A29"/>
    <w:rsid w:val="00C94923"/>
    <w:rsid w:val="00DF7BEC"/>
    <w:rsid w:val="00E0637C"/>
    <w:rsid w:val="00E81BD7"/>
    <w:rsid w:val="00E93564"/>
    <w:rsid w:val="00EA6734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1BAB"/>
  <w15:chartTrackingRefBased/>
  <w15:docId w15:val="{8CD90986-BCFD-4C94-AFC5-25E2762C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2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Сергей Сергеевич</dc:creator>
  <cp:keywords/>
  <dc:description/>
  <cp:lastModifiedBy>Данченко Ирина Ивановна</cp:lastModifiedBy>
  <cp:revision>2</cp:revision>
  <cp:lastPrinted>2024-12-02T06:49:00Z</cp:lastPrinted>
  <dcterms:created xsi:type="dcterms:W3CDTF">2026-01-19T07:23:00Z</dcterms:created>
  <dcterms:modified xsi:type="dcterms:W3CDTF">2026-01-19T07:23:00Z</dcterms:modified>
</cp:coreProperties>
</file>