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ебинар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Превентивные и базовые меры организации безопасности бизнеса с точки зрения уголовного процесса. Из личной практики адвоката. Как избежать обвинений в мошенничестве при ведении бизнеса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 xml:space="preserve">05</w:t>
      </w:r>
      <w:r>
        <w:rPr>
          <w:rFonts w:ascii="Times New Roman" w:hAnsi="Times New Roman" w:cs="Times New Roman"/>
          <w:sz w:val="28"/>
          <w:szCs w:val="28"/>
        </w:rPr>
        <w:t xml:space="preserve">.03</w:t>
      </w:r>
      <w:r>
        <w:rPr>
          <w:rFonts w:ascii="Times New Roman" w:hAnsi="Times New Roman" w:cs="Times New Roman"/>
          <w:sz w:val="28"/>
          <w:szCs w:val="28"/>
        </w:rPr>
        <w:t xml:space="preserve">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 до 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82"/>
        <w:rPr>
          <w:rStyle w:val="88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Формат: ВКС, ссылка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регистрации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884"/>
          <w:rFonts w:ascii="Times New Roman" w:hAnsi="Times New Roman" w:eastAsia="Times New Roman" w:cs="Times New Roman"/>
          <w:sz w:val="28"/>
          <w:szCs w:val="28"/>
        </w:rPr>
      </w:r>
      <w:r>
        <w:rPr>
          <w:rStyle w:val="884"/>
          <w:rFonts w:ascii="Times New Roman" w:hAnsi="Times New Roman" w:cs="Times New Roman"/>
          <w:sz w:val="28"/>
          <w:szCs w:val="28"/>
        </w:rPr>
      </w:r>
    </w:p>
    <w:p>
      <w:pPr>
        <w:pStyle w:val="882"/>
        <w:jc w:val="both"/>
        <w:rPr>
          <w:rStyle w:val="884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https://forms.yandex.ru/u/6996f085e010db83f3ac3565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Style w:val="884"/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Организатор: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орган Московской области «Уполномоченный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защите прав предпринимателей в Мо</w:t>
      </w:r>
      <w:r>
        <w:rPr>
          <w:rFonts w:ascii="Times New Roman" w:hAnsi="Times New Roman" w:cs="Times New Roman"/>
          <w:sz w:val="28"/>
          <w:szCs w:val="28"/>
        </w:rPr>
        <w:t xml:space="preserve">сковской области и его Аппарат»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3"/>
        <w:tblW w:w="9918" w:type="dxa"/>
        <w:tblLook w:val="04A0" w:firstRow="1" w:lastRow="0" w:firstColumn="1" w:lastColumn="0" w:noHBand="0" w:noVBand="1"/>
      </w:tblPr>
      <w:tblGrid>
        <w:gridCol w:w="4957"/>
        <w:gridCol w:w="1559"/>
        <w:gridCol w:w="3402"/>
      </w:tblGrid>
      <w:tr>
        <w:tblPrEx/>
        <w:trPr>
          <w:trHeight w:val="567"/>
        </w:trPr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Спикер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Ольга Павловна – руководитель Аппарата Уполномоченного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Превентивные и базовые меры организации безопасности бизнеса </w:t>
              <w:br/>
              <w:t xml:space="preserve">с точки зрения уголовного процесса. </w:t>
              <w:br/>
              <w:t xml:space="preserve">Из личной практики адвоката: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Начало или новые направления бизнеса, динамика - предмет и исследование потенциальных рисков. Взаимосвязь отраслей права: гражданского, уголовного, налогового.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Соучредители или рейдеры?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Набор и работа с персоналом.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Компьютерная грамотность 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IT-специалисты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Финансы. Финансовый директор, главный бухгалтер, плановик. Схемы и вывод активов.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Схемы третьих лиц по перекладыванию ответственности.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«Добрые» контрагенты. Рейдеры. Как обезопасить свое общение.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Государственные контракты и откаты.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Юридическое сопровождение. Юристы, фирмы и адвокаты. Построение взаимодействия.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</w:t>
              <w:tab/>
              <w:t xml:space="preserve">Арбитражная преюдиция не гарантирует безопасности от уголовного преследования.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Лялин Лев Маркович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Почетный адвокат Московской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председатель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научно-консультативного совета «Центр общественных процедур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«Бизнес против коррупции» в Московской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2.</w:t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Как избежать обвинений </w:t>
              <w:br/>
              <w:t xml:space="preserve">в мошенничестве при ведении бизнеса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-</w:t>
              <w:tab/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ак начинаются проблемы. Умысла нет, но следователь его «усмотрит».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-</w:t>
              <w:tab/>
              <w:t xml:space="preserve">Халатность в отношении себя лично.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-</w:t>
              <w:tab/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есконтрольный Генеральный директор, соучредители, персонал.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-</w:t>
              <w:tab/>
              <w:t xml:space="preserve">Не хотел, но контрагенты подвели. ГК РФ говорит об обратном.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-</w:t>
              <w:tab/>
              <w:t xml:space="preserve">Не просчитали финансовый оборот, займы и проценты, нюансы кредитования.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-</w:t>
              <w:tab/>
              <w:t xml:space="preserve">Форс-мажор не панацея.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-</w:t>
              <w:tab/>
              <w:t xml:space="preserve">Спасет ли банкротство?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Наговицын Дмитрий Алексеевич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адвокат Московской областной коллегии адвокатов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эксперт «Pro-bono», член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  <w:t xml:space="preserve">научно-консультативного совета «Центр общественных процедур «Бизнес против коррупции» в Московской области»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957" w:type="dxa"/>
            <w:vAlign w:val="center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8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Ольга Павловна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707" w:bottom="1135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18"/>
  </w:num>
  <w:num w:numId="4">
    <w:abstractNumId w:val="19"/>
  </w:num>
  <w:num w:numId="5">
    <w:abstractNumId w:val="11"/>
  </w:num>
  <w:num w:numId="6">
    <w:abstractNumId w:val="15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2"/>
  </w:num>
  <w:num w:numId="12">
    <w:abstractNumId w:val="10"/>
  </w:num>
  <w:num w:numId="13">
    <w:abstractNumId w:val="16"/>
  </w:num>
  <w:num w:numId="14">
    <w:abstractNumId w:val="3"/>
  </w:num>
  <w:num w:numId="15">
    <w:abstractNumId w:val="6"/>
  </w:num>
  <w:num w:numId="16">
    <w:abstractNumId w:val="0"/>
  </w:num>
  <w:num w:numId="17">
    <w:abstractNumId w:val="17"/>
  </w:num>
  <w:num w:numId="18">
    <w:abstractNumId w:val="7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8"/>
    <w:next w:val="878"/>
    <w:link w:val="707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7">
    <w:name w:val="Heading 1 Char"/>
    <w:basedOn w:val="879"/>
    <w:link w:val="706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8">
    <w:name w:val="Heading 2"/>
    <w:basedOn w:val="878"/>
    <w:next w:val="878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9">
    <w:name w:val="Heading 2 Char"/>
    <w:basedOn w:val="879"/>
    <w:link w:val="708"/>
    <w:uiPriority w:val="9"/>
    <w:rPr>
      <w:rFonts w:ascii="Liberation Sans" w:hAnsi="Liberation Sans" w:eastAsia="Liberation Sans" w:cs="Liberation Sans"/>
      <w:sz w:val="34"/>
    </w:rPr>
  </w:style>
  <w:style w:type="paragraph" w:styleId="710">
    <w:name w:val="Heading 3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1">
    <w:name w:val="Heading 3 Char"/>
    <w:basedOn w:val="879"/>
    <w:link w:val="71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2">
    <w:name w:val="Heading 4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3">
    <w:name w:val="Heading 4 Char"/>
    <w:basedOn w:val="879"/>
    <w:link w:val="71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5">
    <w:name w:val="Heading 5 Char"/>
    <w:basedOn w:val="879"/>
    <w:link w:val="71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7">
    <w:name w:val="Heading 6 Char"/>
    <w:basedOn w:val="879"/>
    <w:link w:val="71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9">
    <w:name w:val="Heading 7 Char"/>
    <w:basedOn w:val="879"/>
    <w:link w:val="71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1">
    <w:name w:val="Heading 8 Char"/>
    <w:basedOn w:val="879"/>
    <w:link w:val="72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3">
    <w:name w:val="Heading 9 Char"/>
    <w:basedOn w:val="879"/>
    <w:link w:val="72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9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9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9"/>
    <w:link w:val="887"/>
    <w:uiPriority w:val="99"/>
  </w:style>
  <w:style w:type="character" w:styleId="733">
    <w:name w:val="Footer Char"/>
    <w:basedOn w:val="879"/>
    <w:link w:val="889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79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9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9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character" w:styleId="879" w:default="1">
    <w:name w:val="Default Paragraph Font"/>
    <w:uiPriority w:val="1"/>
    <w:semiHidden/>
    <w:unhideWhenUsed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No Spacing"/>
    <w:uiPriority w:val="1"/>
    <w:qFormat/>
    <w:pPr>
      <w:spacing w:after="0" w:line="240" w:lineRule="auto"/>
    </w:pPr>
  </w:style>
  <w:style w:type="table" w:styleId="883">
    <w:name w:val="Table Grid"/>
    <w:basedOn w:val="88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4">
    <w:name w:val="Hyperlink"/>
    <w:basedOn w:val="879"/>
    <w:uiPriority w:val="99"/>
    <w:unhideWhenUsed/>
    <w:rPr>
      <w:color w:val="0563c1" w:themeColor="hyperlink"/>
      <w:u w:val="single"/>
    </w:rPr>
  </w:style>
  <w:style w:type="paragraph" w:styleId="885">
    <w:name w:val="List Paragraph"/>
    <w:basedOn w:val="878"/>
    <w:uiPriority w:val="34"/>
    <w:qFormat/>
    <w:pPr>
      <w:contextualSpacing/>
      <w:ind w:left="720"/>
    </w:pPr>
  </w:style>
  <w:style w:type="paragraph" w:styleId="886">
    <w:name w:val="Normal (Web)"/>
    <w:basedOn w:val="87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Header"/>
    <w:basedOn w:val="878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79"/>
    <w:link w:val="887"/>
    <w:uiPriority w:val="99"/>
  </w:style>
  <w:style w:type="paragraph" w:styleId="889">
    <w:name w:val="Footer"/>
    <w:basedOn w:val="878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79"/>
    <w:link w:val="88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Makhrov</cp:lastModifiedBy>
  <cp:revision>16</cp:revision>
  <dcterms:created xsi:type="dcterms:W3CDTF">2025-07-02T07:01:00Z</dcterms:created>
  <dcterms:modified xsi:type="dcterms:W3CDTF">2026-02-19T11:48:12Z</dcterms:modified>
</cp:coreProperties>
</file>