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C8" w:rsidRPr="00AB49C8" w:rsidRDefault="00AB49C8" w:rsidP="00AB49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B49C8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2 к постановлению Администрации </w:t>
      </w:r>
    </w:p>
    <w:p w:rsidR="00AB49C8" w:rsidRPr="00AB49C8" w:rsidRDefault="00AB49C8" w:rsidP="00AB49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B49C8">
        <w:rPr>
          <w:rFonts w:ascii="Times New Roman" w:eastAsia="Times New Roman" w:hAnsi="Times New Roman" w:cs="Times New Roman"/>
          <w:color w:val="000000"/>
          <w:lang w:eastAsia="ru-RU"/>
        </w:rPr>
        <w:t>Одинцовского городского округа Московской области</w:t>
      </w:r>
    </w:p>
    <w:p w:rsidR="00AB49C8" w:rsidRPr="00AB49C8" w:rsidRDefault="00AB49C8" w:rsidP="00AB49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B49C8">
        <w:rPr>
          <w:rFonts w:ascii="Times New Roman" w:eastAsia="Times New Roman" w:hAnsi="Times New Roman" w:cs="Times New Roman"/>
          <w:color w:val="000000"/>
          <w:lang w:eastAsia="ru-RU"/>
        </w:rPr>
        <w:t>от ___________ № ______</w:t>
      </w:r>
    </w:p>
    <w:p w:rsidR="00AB49C8" w:rsidRPr="00AB49C8" w:rsidRDefault="00AB49C8" w:rsidP="00AB49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49C8" w:rsidRPr="00AB49C8" w:rsidRDefault="00AB49C8" w:rsidP="00AB49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B49C8">
        <w:rPr>
          <w:rFonts w:ascii="Times New Roman" w:eastAsia="Times New Roman" w:hAnsi="Times New Roman" w:cs="Times New Roman"/>
          <w:color w:val="000000"/>
          <w:lang w:eastAsia="ru-RU"/>
        </w:rPr>
        <w:t>«Приложение 4</w:t>
      </w:r>
    </w:p>
    <w:p w:rsidR="00AB49C8" w:rsidRPr="00AB49C8" w:rsidRDefault="00AB49C8" w:rsidP="00AB49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B49C8">
        <w:rPr>
          <w:rFonts w:ascii="Times New Roman" w:eastAsia="Times New Roman" w:hAnsi="Times New Roman" w:cs="Times New Roman"/>
          <w:color w:val="000000"/>
          <w:lang w:eastAsia="ru-RU"/>
        </w:rPr>
        <w:t>к муниципальной программе</w:t>
      </w:r>
    </w:p>
    <w:p w:rsidR="002628C2" w:rsidRDefault="002628C2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:rsidR="00C84468" w:rsidRPr="00C84468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C84468">
        <w:rPr>
          <w:rFonts w:ascii="Times New Roman" w:hAnsi="Times New Roman"/>
          <w:sz w:val="24"/>
          <w:szCs w:val="24"/>
        </w:rPr>
        <w:t xml:space="preserve">МЕТОДИКА ОПРЕДЕЛЕНИЯ </w:t>
      </w:r>
    </w:p>
    <w:p w:rsidR="00C84468" w:rsidRPr="00C84468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C84468">
        <w:rPr>
          <w:rFonts w:ascii="Times New Roman" w:hAnsi="Times New Roman"/>
          <w:sz w:val="24"/>
          <w:szCs w:val="24"/>
        </w:rPr>
        <w:t>РЕЗУЛЬТАТОВ ВЫПОЛНЕНИЯ МЕРОПРИЯТИЙ МУНИЦИПАЛЬНОЙ ПРОГРАММЫ</w:t>
      </w:r>
    </w:p>
    <w:p w:rsidR="00C84468" w:rsidRPr="00C84468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C84468">
        <w:rPr>
          <w:rFonts w:ascii="Times New Roman" w:hAnsi="Times New Roman"/>
          <w:sz w:val="24"/>
          <w:szCs w:val="24"/>
        </w:rPr>
        <w:t xml:space="preserve">«БЕЗОПАСНОСТЬ И ОБЕСПЕЧЕНИЕ БЕЗОПАСНОСТИ ЖИЗНЕДЕЯТЕЛЬНОСТИ» </w:t>
      </w:r>
    </w:p>
    <w:p w:rsidR="00342A5F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C84468">
        <w:rPr>
          <w:rFonts w:ascii="Times New Roman" w:hAnsi="Times New Roman"/>
          <w:sz w:val="24"/>
          <w:szCs w:val="24"/>
        </w:rPr>
        <w:t>НА 202</w:t>
      </w:r>
      <w:r w:rsidR="0005483A">
        <w:rPr>
          <w:rFonts w:ascii="Times New Roman" w:hAnsi="Times New Roman"/>
          <w:sz w:val="24"/>
          <w:szCs w:val="24"/>
        </w:rPr>
        <w:t>6</w:t>
      </w:r>
      <w:r w:rsidRPr="00C84468">
        <w:rPr>
          <w:rFonts w:ascii="Times New Roman" w:hAnsi="Times New Roman"/>
          <w:sz w:val="24"/>
          <w:szCs w:val="24"/>
        </w:rPr>
        <w:t>-20</w:t>
      </w:r>
      <w:r w:rsidR="0005483A">
        <w:rPr>
          <w:rFonts w:ascii="Times New Roman" w:hAnsi="Times New Roman"/>
          <w:sz w:val="24"/>
          <w:szCs w:val="24"/>
        </w:rPr>
        <w:t>30</w:t>
      </w:r>
      <w:r w:rsidRPr="00C84468">
        <w:rPr>
          <w:rFonts w:ascii="Times New Roman" w:hAnsi="Times New Roman"/>
          <w:sz w:val="24"/>
          <w:szCs w:val="24"/>
        </w:rPr>
        <w:t xml:space="preserve"> ГОДЫ</w:t>
      </w:r>
    </w:p>
    <w:p w:rsidR="00C84468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94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946"/>
        <w:gridCol w:w="4658"/>
        <w:gridCol w:w="1293"/>
        <w:gridCol w:w="6871"/>
      </w:tblGrid>
      <w:tr w:rsidR="004F60C9" w:rsidRPr="00AE20DA" w:rsidTr="002419AB">
        <w:trPr>
          <w:cantSplit/>
          <w:tblHeader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результата 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Порядок определения значений </w:t>
            </w:r>
          </w:p>
        </w:tc>
      </w:tr>
      <w:tr w:rsidR="004F60C9" w:rsidRPr="00AE20DA" w:rsidTr="002419AB">
        <w:trPr>
          <w:cantSplit/>
          <w:tblHeader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F52D56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F52D56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F60C9" w:rsidRPr="00AE20DA" w:rsidTr="002419AB">
        <w:trPr>
          <w:cantSplit/>
          <w:trHeight w:val="351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0C9" w:rsidRPr="00F52D56" w:rsidRDefault="00D009E8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Подпрограмма 1 </w:t>
            </w:r>
            <w:r w:rsidR="002665AD" w:rsidRPr="00F52D56">
              <w:rPr>
                <w:rFonts w:ascii="Times New Roman" w:hAnsi="Times New Roman"/>
                <w:sz w:val="18"/>
                <w:szCs w:val="18"/>
              </w:rPr>
              <w:t>«</w:t>
            </w:r>
            <w:r w:rsidR="00F30C90" w:rsidRPr="00F52D56">
              <w:rPr>
                <w:rFonts w:ascii="Times New Roman" w:hAnsi="Times New Roman"/>
                <w:sz w:val="18"/>
                <w:szCs w:val="18"/>
              </w:rPr>
              <w:t>Профилактика пре</w:t>
            </w:r>
            <w:r w:rsidR="002665AD" w:rsidRPr="00F52D56">
              <w:rPr>
                <w:rFonts w:ascii="Times New Roman" w:hAnsi="Times New Roman"/>
                <w:sz w:val="18"/>
                <w:szCs w:val="18"/>
              </w:rPr>
              <w:t>ступлений и иных правонарушений»</w:t>
            </w:r>
          </w:p>
        </w:tc>
      </w:tr>
      <w:tr w:rsidR="004F60C9" w:rsidRPr="00AE20DA" w:rsidTr="002419AB">
        <w:trPr>
          <w:cantSplit/>
          <w:trHeight w:val="598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0C9" w:rsidRPr="00196F3A" w:rsidRDefault="00F30C90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F3A">
              <w:rPr>
                <w:rFonts w:ascii="Times New Roman" w:hAnsi="Times New Roman"/>
                <w:sz w:val="18"/>
                <w:szCs w:val="18"/>
              </w:rPr>
              <w:t>Основное мероприятие 01. 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      </w:r>
          </w:p>
        </w:tc>
      </w:tr>
      <w:tr w:rsidR="004F60C9" w:rsidRPr="00AE20DA" w:rsidTr="00C84468">
        <w:trPr>
          <w:cantSplit/>
          <w:trHeight w:val="49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F96B84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F96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</w:t>
            </w:r>
            <w:r w:rsidR="004F60C9" w:rsidRPr="00196F3A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0C9" w:rsidRPr="00196F3A" w:rsidRDefault="004F60C9" w:rsidP="00F96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F3A">
              <w:rPr>
                <w:rFonts w:ascii="Times New Roman" w:hAnsi="Times New Roman"/>
                <w:sz w:val="18"/>
                <w:szCs w:val="18"/>
              </w:rPr>
              <w:t>Количество мероприятий по профилактике терроризма</w:t>
            </w:r>
            <w:r w:rsidR="00AE3BDD">
              <w:rPr>
                <w:rFonts w:ascii="Times New Roman" w:hAnsi="Times New Roman"/>
                <w:sz w:val="18"/>
                <w:szCs w:val="18"/>
              </w:rPr>
              <w:t>, экстремизма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C9" w:rsidRPr="002F7872" w:rsidRDefault="004F60C9" w:rsidP="00F96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F7872">
              <w:rPr>
                <w:rFonts w:ascii="Times New Roman" w:hAnsi="Times New Roman"/>
                <w:sz w:val="18"/>
                <w:szCs w:val="20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F52D56" w:rsidRDefault="004D5C6A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проведенных мероприятий по профилактике терроризма, экстремизма</w:t>
            </w:r>
          </w:p>
        </w:tc>
      </w:tr>
      <w:tr w:rsidR="004F60C9" w:rsidRPr="00AE20DA" w:rsidTr="00C84468">
        <w:trPr>
          <w:cantSplit/>
          <w:trHeight w:val="77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F96B84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F96B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0C9" w:rsidRPr="00196F3A" w:rsidRDefault="004F60C9" w:rsidP="00F96B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C9" w:rsidRPr="002F7872" w:rsidRDefault="004F60C9" w:rsidP="00F96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F7872">
              <w:rPr>
                <w:rFonts w:ascii="Times New Roman" w:hAnsi="Times New Roman"/>
                <w:sz w:val="18"/>
                <w:szCs w:val="20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F52D56" w:rsidRDefault="001C6AAC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</w:t>
            </w:r>
            <w:r w:rsidRPr="00F52D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приобретенного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F96B84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60C9" w:rsidRPr="00196F3A" w:rsidRDefault="00A93815" w:rsidP="00F96B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0C9" w:rsidRPr="00196F3A" w:rsidRDefault="004F60C9" w:rsidP="00F96B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C9" w:rsidRPr="002F7872" w:rsidRDefault="004F60C9" w:rsidP="00F96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F7872">
              <w:rPr>
                <w:rFonts w:ascii="Times New Roman" w:hAnsi="Times New Roman"/>
                <w:sz w:val="18"/>
                <w:szCs w:val="20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F52D56" w:rsidRDefault="00302957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</w:t>
            </w:r>
            <w:r w:rsidRPr="00F52D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приобретенного оборудования и (или) проведенной модернизации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F52D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укрепленности</w:t>
            </w:r>
            <w:proofErr w:type="spellEnd"/>
            <w:r w:rsidRPr="00F52D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(закупка товаров, работ, услуг)</w:t>
            </w:r>
          </w:p>
        </w:tc>
      </w:tr>
      <w:tr w:rsidR="002419AB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419AB" w:rsidRPr="00F52D56" w:rsidRDefault="002419AB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Основное мероприятие 02. Обеспечение деятельности общественных объединений правоохранительной направленности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граждан вновь привлеченных, участвующих в деятельности народных дружин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F52D56" w:rsidRDefault="005471E8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</w:t>
            </w:r>
            <w:r w:rsidRPr="00F52D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привлеченных граждан, принимающих участие в деятельности народных дружин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 требованиями при расчете нормативов расходов бюджета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F52D56" w:rsidRDefault="005471E8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народных дружинников, получивших выплаты в соответствии с  требованиями при расчете нормативов расходов бюджета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закупленного имущества на обеспечение народных дружин необходимой материально-технической базой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F52D56" w:rsidRDefault="00352993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закупленного имущества на обеспечение народных дружин необходимой материально-технической базой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F52D56" w:rsidRDefault="00C95696" w:rsidP="001C3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дополнительных мероприятий по обеспечению правопорядка и безопасности граждан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F52D56" w:rsidRDefault="00321C11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обученных народных дружинников</w:t>
            </w:r>
          </w:p>
        </w:tc>
      </w:tr>
      <w:tr w:rsidR="0040292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2922" w:rsidRPr="00B86B14" w:rsidRDefault="00402922" w:rsidP="0039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B14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03. Реализация мероприятий по обеспечению общественного порядка и общественной безопасности, профилактике проявлений экстремизма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395305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2E39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F52D56" w:rsidRDefault="008C37C8" w:rsidP="0039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проведенных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экстремистски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настроенных лиц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395305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2E39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F52D56" w:rsidRDefault="009826FB" w:rsidP="0039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проведенных мероприятий по профилактике экстремизма</w:t>
            </w:r>
          </w:p>
        </w:tc>
      </w:tr>
      <w:tr w:rsidR="004F60C9" w:rsidRPr="00AE20DA" w:rsidTr="00CE2515">
        <w:trPr>
          <w:cantSplit/>
          <w:trHeight w:val="47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395305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2E39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 «круглых столов» по формированию толерантных межнациональных отношений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F52D56" w:rsidRDefault="00CE2515" w:rsidP="00CE2515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проведенных  «круглых столов» по формированию толерантных межнациональных отношений 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395305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60C9" w:rsidRPr="00196F3A" w:rsidRDefault="00A93815" w:rsidP="002E39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F52D56" w:rsidRDefault="003F6029" w:rsidP="0039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проведенных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FE3634" w:rsidRDefault="00767942" w:rsidP="00767942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7942" w:rsidRPr="00FE3634" w:rsidRDefault="00767942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634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 xml:space="preserve"> 03.05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E3634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листовок, рекламных баннеров, агитационных материалов </w:t>
            </w:r>
            <w:proofErr w:type="spellStart"/>
            <w:r w:rsidRPr="00FE3634">
              <w:rPr>
                <w:rFonts w:ascii="Times New Roman" w:hAnsi="Times New Roman" w:cs="Times New Roman"/>
                <w:sz w:val="18"/>
                <w:szCs w:val="18"/>
              </w:rPr>
              <w:t>противомошеннической</w:t>
            </w:r>
            <w:proofErr w:type="spellEnd"/>
            <w:r w:rsidRPr="00FE3634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FE3634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F52D56" w:rsidRDefault="008C2156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листовок, рекламных баннеров, агитационных материалов </w:t>
            </w: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противомошеннической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направленности</w:t>
            </w:r>
          </w:p>
        </w:tc>
      </w:tr>
      <w:tr w:rsidR="00987AB3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AB3" w:rsidRPr="00FE3634" w:rsidRDefault="00987AB3" w:rsidP="00767942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7AB3" w:rsidRPr="00FE3634" w:rsidRDefault="005A134E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634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 xml:space="preserve"> 03.06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B3" w:rsidRPr="00FE3634" w:rsidRDefault="005A134E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>Оказание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87AB3" w:rsidRPr="00FE3634" w:rsidRDefault="005A134E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87AB3" w:rsidRPr="00F52D56" w:rsidRDefault="008827F8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реализованных мероприятий по оказанию содействия, в том числе некоммерческим организациям, по осуществлению мероприятий в сфере безопасности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 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936215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</w:t>
            </w: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>скопления людей, на детских игровых, спортивных площадках, социальных объектах, контейнерных площадках (площадках ТБО),  остановках общественного транспорта</w:t>
            </w:r>
            <w:r w:rsidR="004D438E" w:rsidRPr="00F52D56">
              <w:rPr>
                <w:rFonts w:ascii="Times New Roman" w:hAnsi="Times New Roman" w:cs="Times New Roman"/>
                <w:sz w:val="18"/>
                <w:szCs w:val="18"/>
              </w:rPr>
              <w:t>, подъездах многоквартирных домов</w:t>
            </w: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 xml:space="preserve"> (ед.)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AC5EFC" w:rsidP="004D4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социальных объектах, контейнерных площадках (площадках ТБО), остановках общественного транспорта</w:t>
            </w:r>
            <w:r w:rsidR="004D438E" w:rsidRPr="00F52D56">
              <w:rPr>
                <w:rFonts w:ascii="Times New Roman" w:hAnsi="Times New Roman"/>
                <w:sz w:val="18"/>
                <w:szCs w:val="18"/>
              </w:rPr>
              <w:t>, подъездах многоквартирных домов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936215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 (ед.)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6F2787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видеокамер, установленных на подъездах многоквартирных домов и контейнерных площадках (площадках ТБО) и подключенных к системе «Безопасный регион» </w:t>
            </w:r>
            <w:r w:rsidRPr="00F52D56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721814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фактической сумме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</w:t>
            </w:r>
            <w:r w:rsidRPr="00F52D56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143728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видеокамер внешних систем видеонаблюдения, интегрированных в систему «Безопасный регион»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0C358E" w:rsidP="00767942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Услуги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F93EB1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оказанных услуг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</w:t>
            </w:r>
          </w:p>
        </w:tc>
      </w:tr>
      <w:tr w:rsidR="0067133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339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1339" w:rsidRPr="00C81389" w:rsidRDefault="005E2AC3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Мероприятие 04.08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39" w:rsidRPr="00C81389" w:rsidRDefault="005E2AC3" w:rsidP="005E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3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Выполнение технических условий и получение сертификата внешней системы видеонаблюдения, интегрированной в систему «Безопасный регион»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71339" w:rsidRPr="00C81389" w:rsidRDefault="005E2AC3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39" w:rsidRPr="00F52D56" w:rsidRDefault="00865B23" w:rsidP="00865B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выполнению технических условий и получению сертификата внешней системы видеонаблюдения, интегрированной в систему «Безопасный регион» 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BD2A0C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767942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F75C77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767942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F01BB0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обученных педагогов и волонтеров методикам проведения профилактических занятий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рекламных баннеров, агитационных материалов антинаркотической направленности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8255DC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размещенных рекламных баннеров, агитационных материалов антинаркотической направленности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Ежегодное проведение мероприятий в рамках антинаркотических месячников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73415E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проведенных ежегодных мероприятий в рамках антинаркотических месячников (дата, месяц, ед.)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Основное мероприятие 07. Развитие похоронного дела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2C3D48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C3D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/>
                <w:sz w:val="18"/>
                <w:szCs w:val="18"/>
              </w:rPr>
              <w:t xml:space="preserve"> 07.02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F3A">
              <w:rPr>
                <w:rFonts w:ascii="Times New Roman" w:hAnsi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х100%</m:t>
                </m:r>
              </m:oMath>
            </m:oMathPara>
          </w:p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Тн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Тобщ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767942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ED55B6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ED55B6">
              <w:rPr>
                <w:rFonts w:ascii="Times New Roman" w:hAnsi="Times New Roman"/>
                <w:sz w:val="18"/>
                <w:szCs w:val="18"/>
              </w:rPr>
              <w:t xml:space="preserve"> 07.04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851EE1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Выполнение мероприятий по обеспечению деятельности (оказанию услуг) в сфере похоронного дела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767942" w:rsidP="00312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E1" w:rsidRPr="00F52D56" w:rsidRDefault="00851EE1" w:rsidP="00851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851EE1" w:rsidRPr="00F52D56" w:rsidRDefault="00851EE1" w:rsidP="00851EE1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rPr>
                <w:sz w:val="18"/>
                <w:szCs w:val="18"/>
              </w:rPr>
            </w:pPr>
          </w:p>
          <w:p w:rsidR="00851EE1" w:rsidRPr="00F52D56" w:rsidRDefault="00851EE1" w:rsidP="00851EE1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 xml:space="preserve">Вып=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Мвып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Мобщ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:rsidR="00851EE1" w:rsidRPr="00F52D56" w:rsidRDefault="00851EE1" w:rsidP="00851EE1">
            <w:pPr>
              <w:pStyle w:val="ab"/>
              <w:spacing w:after="0" w:line="240" w:lineRule="auto"/>
              <w:ind w:left="51" w:right="-108" w:hanging="18"/>
              <w:rPr>
                <w:rFonts w:ascii="Times New Roman" w:hAnsi="Times New Roman"/>
                <w:sz w:val="18"/>
                <w:szCs w:val="18"/>
              </w:rPr>
            </w:pPr>
          </w:p>
          <w:p w:rsidR="00851EE1" w:rsidRPr="00F52D56" w:rsidRDefault="00851EE1" w:rsidP="00851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Вып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выполнение мероприятий по обеспечению деятельности (оказанию услуг) в сфере похоронного дела, %;</w:t>
            </w:r>
          </w:p>
          <w:p w:rsidR="00851EE1" w:rsidRPr="00F52D56" w:rsidRDefault="00851EE1" w:rsidP="00851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Мвып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количество выполненных мероприятий по обеспечению деятельности (оказанию услуг) в сфере похоронного дела, ед.;</w:t>
            </w:r>
          </w:p>
          <w:p w:rsidR="00851EE1" w:rsidRPr="00F52D56" w:rsidRDefault="00851EE1" w:rsidP="00851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Мобщ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общее количество мероприятий по обеспечению деятельности (оказанию услуг) в сфере похоронного дела, ед.</w:t>
            </w:r>
          </w:p>
          <w:p w:rsidR="00767942" w:rsidRPr="00F52D56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942" w:rsidRPr="00AE20DA" w:rsidTr="00F96AAB">
        <w:trPr>
          <w:cantSplit/>
          <w:trHeight w:val="7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AD5CFA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CFA">
              <w:rPr>
                <w:rFonts w:ascii="Times New Roman" w:hAnsi="Times New Roman"/>
                <w:sz w:val="18"/>
                <w:szCs w:val="18"/>
              </w:rPr>
              <w:t>Мероприятие 07.05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AD5CFA" w:rsidRDefault="003113C6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CFA">
              <w:rPr>
                <w:rFonts w:ascii="Times New Roman" w:hAnsi="Times New Roman"/>
                <w:sz w:val="18"/>
                <w:szCs w:val="18"/>
              </w:rPr>
              <w:t>Количество созданных новых кладбищ</w:t>
            </w:r>
            <w:r w:rsidR="00515224" w:rsidRPr="00AD5CFA">
              <w:rPr>
                <w:rFonts w:ascii="Times New Roman" w:hAnsi="Times New Roman"/>
                <w:sz w:val="18"/>
                <w:szCs w:val="18"/>
              </w:rPr>
              <w:t>, созданных стен скорби на существующих кладбищах</w:t>
            </w:r>
            <w:r w:rsidRPr="00AD5CFA">
              <w:rPr>
                <w:rFonts w:ascii="Times New Roman" w:hAnsi="Times New Roman"/>
                <w:sz w:val="18"/>
                <w:szCs w:val="18"/>
              </w:rPr>
              <w:t xml:space="preserve"> и оформленных земельных участков под существующими кладбищами в муниципальную 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AD5CFA" w:rsidRDefault="00653BF0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F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AD5CFA" w:rsidRDefault="00653BF0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CFA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созданных новых кладбищ</w:t>
            </w:r>
            <w:r w:rsidR="00AB3F44" w:rsidRPr="00AD5CFA">
              <w:rPr>
                <w:rFonts w:ascii="Times New Roman" w:hAnsi="Times New Roman"/>
                <w:sz w:val="18"/>
                <w:szCs w:val="18"/>
              </w:rPr>
              <w:t>, созданных стен скорби на существующих кладбищах</w:t>
            </w:r>
            <w:r w:rsidRPr="00AD5CFA">
              <w:rPr>
                <w:rFonts w:ascii="Times New Roman" w:hAnsi="Times New Roman"/>
                <w:sz w:val="18"/>
                <w:szCs w:val="18"/>
              </w:rPr>
              <w:t xml:space="preserve"> и оформленных земельных участков под существующими кладбищами в муниципальную собственность за отчетный период</w:t>
            </w:r>
          </w:p>
        </w:tc>
      </w:tr>
      <w:tr w:rsidR="00767942" w:rsidRPr="00AE20DA" w:rsidTr="00F96AAB">
        <w:trPr>
          <w:cantSplit/>
          <w:trHeight w:val="5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 07.06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A953AC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Количество кладбищ, на кот</w:t>
            </w:r>
            <w:bookmarkStart w:id="0" w:name="_GoBack"/>
            <w:bookmarkEnd w:id="0"/>
            <w:r w:rsidRPr="00F52D56">
              <w:rPr>
                <w:rFonts w:ascii="Times New Roman" w:hAnsi="Times New Roman"/>
                <w:sz w:val="18"/>
                <w:szCs w:val="18"/>
              </w:rPr>
              <w:t>орых проведены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E81C00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кладбищ, на которых проведены зимние и летние работы по содержанию мест захоронений, текущий и капитальный ремонт основных фондов за отчетный период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 07.07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C13E4F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Количество воинских, почетных, одиночных захоронений (в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C13E4F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333740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воинских, почетных, одиночных захоронений (в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 за отчетный период</w:t>
            </w:r>
          </w:p>
        </w:tc>
      </w:tr>
      <w:tr w:rsidR="00767942" w:rsidRPr="00AE20DA" w:rsidTr="00BB3015">
        <w:trPr>
          <w:cantSplit/>
          <w:trHeight w:val="9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 07.08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88034D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Количество могил и надгробий Героев Советского Союза, Героев Российской Федерации или полных кавалеров ордена Славы при отсутствии близких родственников, в отношении которых осуществлены мероприятия по содержанию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88034D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D2F" w:rsidRPr="00F52D56" w:rsidRDefault="005C5D2F" w:rsidP="005C5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могил и надгробий Героев Советского Союза, Героев Российской Федерации или полных кавалеров ордена Славы при отсутствии близких родственников, в отношении которых осуществлены мероприятия по содержанию за отчетный период</w:t>
            </w:r>
          </w:p>
          <w:p w:rsidR="00767942" w:rsidRPr="00F52D56" w:rsidRDefault="00767942" w:rsidP="00767942">
            <w:pPr>
              <w:pStyle w:val="Default"/>
              <w:rPr>
                <w:sz w:val="18"/>
                <w:szCs w:val="18"/>
              </w:rPr>
            </w:pPr>
          </w:p>
        </w:tc>
      </w:tr>
      <w:tr w:rsidR="00767942" w:rsidRPr="00AE20DA" w:rsidTr="00BB3015">
        <w:trPr>
          <w:cantSplit/>
          <w:trHeight w:val="174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 07.09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 xml:space="preserve">Доля кладбищ, на которых проведена </w:t>
            </w:r>
            <w:r w:rsidR="002B37E0" w:rsidRPr="00F52D56">
              <w:rPr>
                <w:rFonts w:ascii="Times New Roman" w:hAnsi="Times New Roman" w:cs="Times New Roman"/>
                <w:sz w:val="18"/>
                <w:szCs w:val="18"/>
              </w:rPr>
              <w:t>инвентаризация мест захоронения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52D56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126" w:rsidRPr="00F52D56" w:rsidRDefault="00EF3126" w:rsidP="00EF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EF3126" w:rsidRPr="00F52D56" w:rsidRDefault="00EF3126" w:rsidP="00EF3126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rPr>
                <w:sz w:val="18"/>
                <w:szCs w:val="18"/>
              </w:rPr>
            </w:pPr>
          </w:p>
          <w:p w:rsidR="00EF3126" w:rsidRPr="00F52D56" w:rsidRDefault="00EF3126" w:rsidP="00EF3126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 xml:space="preserve">Динв=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КЛинв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КЛобщ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:rsidR="00EF3126" w:rsidRPr="00F52D56" w:rsidRDefault="00EF3126" w:rsidP="00EF3126">
            <w:pPr>
              <w:pStyle w:val="ab"/>
              <w:spacing w:after="0" w:line="240" w:lineRule="auto"/>
              <w:ind w:left="51" w:right="-108" w:hanging="18"/>
              <w:rPr>
                <w:rFonts w:ascii="Times New Roman" w:hAnsi="Times New Roman"/>
                <w:sz w:val="18"/>
                <w:szCs w:val="18"/>
              </w:rPr>
            </w:pPr>
          </w:p>
          <w:p w:rsidR="00EF3126" w:rsidRPr="00F52D56" w:rsidRDefault="00EF3126" w:rsidP="00EF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Динв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доля кладбищ, на которых проведена инвентаризация мест захоронений, %;</w:t>
            </w:r>
          </w:p>
          <w:p w:rsidR="00EF3126" w:rsidRPr="00F52D56" w:rsidRDefault="00EF3126" w:rsidP="00EF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КЛинв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количество кладбищ, на которых проведена инвентаризация мест захоронений, ед.;</w:t>
            </w:r>
          </w:p>
          <w:p w:rsidR="00767942" w:rsidRPr="00F52D56" w:rsidRDefault="00EF3126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КЛобщ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общее количество кладбищ на территории муниципального образования, ед.</w:t>
            </w:r>
          </w:p>
        </w:tc>
      </w:tr>
      <w:tr w:rsidR="00BB3015" w:rsidRPr="00AE20DA" w:rsidTr="00BB3015">
        <w:trPr>
          <w:cantSplit/>
          <w:trHeight w:val="174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015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</w:tcPr>
          <w:p w:rsidR="00BB3015" w:rsidRPr="00F52D56" w:rsidRDefault="00484CFF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 xml:space="preserve"> 07.10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5" w:rsidRPr="00F52D56" w:rsidRDefault="00484CFF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Доля транспортировок умерших в морг с мест обнаружения или происшествия для производства судебно-медицинской экспертизы, произведенных </w:t>
            </w:r>
            <w:r w:rsidRPr="00F52D5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 счет средств местного бюджета </w:t>
            </w:r>
            <w:r w:rsidRPr="00F52D56">
              <w:rPr>
                <w:rFonts w:ascii="Times New Roman" w:hAnsi="Times New Roman"/>
                <w:sz w:val="18"/>
                <w:szCs w:val="18"/>
              </w:rPr>
              <w:t>в соответствии с установленными требованиями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15" w:rsidRPr="00F52D56" w:rsidRDefault="00484CFF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932" w:rsidRPr="00F52D56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675932" w:rsidRPr="00F52D56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932" w:rsidRPr="00F52D56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х100%</m:t>
                </m:r>
              </m:oMath>
            </m:oMathPara>
          </w:p>
          <w:p w:rsidR="00675932" w:rsidRPr="00F52D56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932" w:rsidRPr="00F52D56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:rsidR="00675932" w:rsidRPr="00F52D56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 xml:space="preserve">ДТ - доля транспортировок умерших в морг с мест обнаружения или происшествия для производства судебно-медицинской экспертизы, произведенных </w:t>
            </w:r>
            <w:r w:rsidRPr="00F5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 счет средств местного бюджета</w:t>
            </w:r>
            <w:r w:rsidRPr="00F52D56">
              <w:rPr>
                <w:rFonts w:ascii="Times New Roman" w:hAnsi="Times New Roman"/>
                <w:sz w:val="18"/>
                <w:szCs w:val="18"/>
              </w:rPr>
              <w:t xml:space="preserve"> в соответствии с установленными требованиями;</w:t>
            </w:r>
          </w:p>
          <w:p w:rsidR="00675932" w:rsidRPr="00F52D56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Тн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количество транспортировок умерших в морг </w:t>
            </w:r>
            <w:r w:rsidRPr="00F5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 счет средств местного бюджета</w:t>
            </w:r>
            <w:r w:rsidRPr="00F52D56">
              <w:rPr>
                <w:rFonts w:ascii="Times New Roman" w:hAnsi="Times New Roman"/>
                <w:sz w:val="18"/>
                <w:szCs w:val="18"/>
              </w:rPr>
              <w:t xml:space="preserve">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BB3015" w:rsidRPr="00F52D56" w:rsidRDefault="00675932" w:rsidP="00EF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2D56">
              <w:rPr>
                <w:rFonts w:ascii="Times New Roman" w:hAnsi="Times New Roman"/>
                <w:sz w:val="18"/>
                <w:szCs w:val="18"/>
              </w:rPr>
              <w:t>Тобщ</w:t>
            </w:r>
            <w:proofErr w:type="spellEnd"/>
            <w:r w:rsidRPr="00F52D56">
              <w:rPr>
                <w:rFonts w:ascii="Times New Roman" w:hAnsi="Times New Roman"/>
                <w:sz w:val="18"/>
                <w:szCs w:val="18"/>
              </w:rPr>
              <w:t xml:space="preserve"> – общее фактическое количество осуществленных транспортировок умерших в морг </w:t>
            </w:r>
            <w:r w:rsidRPr="00F52D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 счет средств местного бюджета</w:t>
            </w:r>
          </w:p>
        </w:tc>
      </w:tr>
      <w:tr w:rsidR="007D415A" w:rsidRPr="00AE20DA" w:rsidTr="00AB07C6">
        <w:trPr>
          <w:cantSplit/>
          <w:trHeight w:val="52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15A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</w:tcPr>
          <w:p w:rsidR="007D415A" w:rsidRPr="00F52D56" w:rsidRDefault="007D415A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 xml:space="preserve"> 07.11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A" w:rsidRPr="00F52D56" w:rsidRDefault="007D415A" w:rsidP="0076794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Количество благоустроенных и восстановленных воинских захоронений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15A" w:rsidRPr="00F52D56" w:rsidRDefault="007D49B8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15A" w:rsidRPr="00F52D56" w:rsidRDefault="007D49B8" w:rsidP="00AB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благоустроенных и восстановленных воинских захоронений за отчетный период</w:t>
            </w:r>
          </w:p>
        </w:tc>
      </w:tr>
      <w:tr w:rsidR="006056FB" w:rsidRPr="00AE20DA" w:rsidTr="00AB07C6">
        <w:trPr>
          <w:cantSplit/>
          <w:trHeight w:val="52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6FB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</w:tcPr>
          <w:p w:rsidR="006056FB" w:rsidRPr="00F52D56" w:rsidRDefault="006056FB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 xml:space="preserve"> 07.12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FB" w:rsidRPr="00F52D56" w:rsidRDefault="006056FB" w:rsidP="0076794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Количество захоронений, предоставленных согласно гарантированному перечню услуг по погребению, по которым осуществлено возмещение специализированной службе по вопросам похоронного дела стоимости услуг по погребению умерших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6FB" w:rsidRPr="00F52D56" w:rsidRDefault="006056FB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56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6FB" w:rsidRPr="00F52D56" w:rsidRDefault="006056FB" w:rsidP="00AB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56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захоронений, предоставленных согласно гарантированному перечню услуг по погребению, по которым осуществлено возмещение специализированной службе по вопросам похоронного дела стоимости услуг по погребению умерших за отчетный период</w:t>
            </w:r>
          </w:p>
        </w:tc>
      </w:tr>
      <w:tr w:rsidR="00767942" w:rsidRPr="00AE20DA" w:rsidTr="00F96AAB">
        <w:trPr>
          <w:cantSplit/>
          <w:trHeight w:val="477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Подпрограмма 2 «Обеспечение мероприятий по защите населения и территорий от чрезвычайных ситуаций»</w:t>
            </w:r>
          </w:p>
        </w:tc>
      </w:tr>
      <w:tr w:rsidR="00767942" w:rsidRPr="00AE20DA" w:rsidTr="00C84468">
        <w:trPr>
          <w:cantSplit/>
          <w:trHeight w:val="275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01. Развитие и эксплуатация Системы-112</w:t>
            </w:r>
          </w:p>
        </w:tc>
      </w:tr>
      <w:tr w:rsidR="00767942" w:rsidRPr="00AE20DA" w:rsidTr="00F96AAB">
        <w:trPr>
          <w:cantSplit/>
          <w:trHeight w:val="182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0D6486" w:rsidRDefault="00767942" w:rsidP="00F4273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6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942" w:rsidRPr="007E0A78" w:rsidRDefault="00767942" w:rsidP="00B94531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Обеспечено развитие Системы-112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942" w:rsidRPr="007E0A78" w:rsidRDefault="00767942" w:rsidP="00E525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942" w:rsidRPr="007E0A78" w:rsidRDefault="00767942" w:rsidP="00B94531">
            <w:pPr>
              <w:spacing w:after="0" w:line="240" w:lineRule="auto"/>
              <w:ind w:right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 № 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</w:t>
            </w:r>
            <w:r w:rsidR="005647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Системы-112 Московской области</w:t>
            </w:r>
          </w:p>
        </w:tc>
      </w:tr>
      <w:tr w:rsidR="00767942" w:rsidRPr="00AE20DA" w:rsidTr="00F96AAB">
        <w:trPr>
          <w:cantSplit/>
          <w:trHeight w:val="142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F4273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B94531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:rsidR="00767942" w:rsidRPr="007E0A78" w:rsidRDefault="00767942" w:rsidP="00B94531">
            <w:pPr>
              <w:spacing w:after="0" w:line="240" w:lineRule="auto"/>
              <w:ind w:left="212" w:right="108" w:hanging="21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25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B94531">
            <w:pPr>
              <w:spacing w:after="0" w:line="240" w:lineRule="auto"/>
              <w:ind w:right="284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</w:t>
            </w:r>
          </w:p>
        </w:tc>
      </w:tr>
      <w:tr w:rsidR="00767942" w:rsidRPr="00AE20DA" w:rsidTr="00AB3F73">
        <w:trPr>
          <w:cantSplit/>
          <w:trHeight w:val="296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pStyle w:val="a6"/>
              <w:ind w:right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02. 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</w:tr>
      <w:tr w:rsidR="00767942" w:rsidRPr="00AE20DA" w:rsidTr="00C84468">
        <w:trPr>
          <w:cantSplit/>
          <w:trHeight w:val="276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02.01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Приобретено материальных средств резервного фонда для ликвидации чрезвычайных ситуаций муниципального характера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4E7BC2">
            <w:pPr>
              <w:pStyle w:val="a6"/>
              <w:ind w:right="284"/>
              <w:jc w:val="both"/>
              <w:rPr>
                <w:sz w:val="18"/>
                <w:szCs w:val="18"/>
              </w:rPr>
            </w:pP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суммарно </w:t>
            </w:r>
            <w:r w:rsidRPr="007E0A78">
              <w:rPr>
                <w:rFonts w:ascii="Times New Roman" w:hAnsi="Times New Roman" w:cs="Times New Roman"/>
                <w:sz w:val="18"/>
                <w:szCs w:val="18"/>
              </w:rPr>
              <w:br/>
              <w:t>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</w:t>
            </w:r>
            <w:r w:rsidR="005647A8">
              <w:rPr>
                <w:rFonts w:ascii="Times New Roman" w:hAnsi="Times New Roman" w:cs="Times New Roman"/>
                <w:sz w:val="18"/>
                <w:szCs w:val="18"/>
              </w:rPr>
              <w:t>С России от 24.12.2019 № 777ДСП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03. 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</w:tr>
      <w:tr w:rsidR="00767942" w:rsidRPr="00AE20DA" w:rsidTr="00C84468">
        <w:trPr>
          <w:cantSplit/>
          <w:trHeight w:val="187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4E7BC2">
            <w:pPr>
              <w:tabs>
                <w:tab w:val="center" w:pos="1304"/>
              </w:tabs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Обучено должностных лиц по вопросам предупреждения и ликвидации чрезвычайных ситуаций и гражданской обороны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Человек 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должностных лиц</w:t>
            </w:r>
          </w:p>
        </w:tc>
      </w:tr>
      <w:tr w:rsidR="00767942" w:rsidRPr="00AE20DA" w:rsidTr="00C84468">
        <w:trPr>
          <w:cantSplit/>
          <w:trHeight w:val="127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F4273C" w:rsidP="00671339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E5254D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Издано листовок, учебных пособий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C84468">
        <w:trPr>
          <w:cantSplit/>
          <w:trHeight w:val="21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03.04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E5254D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тренировок, учений и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смотр-конкурсов,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17.06.2016 № 2-4-71-34-11</w:t>
            </w:r>
          </w:p>
        </w:tc>
      </w:tr>
      <w:tr w:rsidR="00767942" w:rsidRPr="00AE20DA" w:rsidTr="00C84468">
        <w:trPr>
          <w:cantSplit/>
          <w:trHeight w:val="21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03.05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</w:tr>
      <w:tr w:rsidR="00767942" w:rsidRPr="00AE20DA" w:rsidTr="00C84468">
        <w:trPr>
          <w:cantSplit/>
          <w:trHeight w:val="21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03.06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Разработан и утвержден Паспорт безопасности территории муниципального образования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разработанных и утвержденных Паспортов безопасности территории муниципального образования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04. 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04.01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Значение результата определяется суммарно </w:t>
            </w:r>
            <w:r w:rsidRPr="007E0A78">
              <w:rPr>
                <w:rFonts w:ascii="Times New Roman" w:hAnsi="Times New Roman"/>
                <w:sz w:val="18"/>
                <w:szCs w:val="18"/>
              </w:rPr>
              <w:br/>
              <w:t>по количеству заключенных и исполне</w:t>
            </w:r>
            <w:r w:rsidR="005647A8">
              <w:rPr>
                <w:rFonts w:ascii="Times New Roman" w:hAnsi="Times New Roman"/>
                <w:sz w:val="18"/>
                <w:szCs w:val="18"/>
              </w:rPr>
              <w:t>нных государственных контрактов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05. 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</w:tr>
      <w:tr w:rsidR="00767942" w:rsidRPr="00AE20DA" w:rsidTr="00C84468">
        <w:trPr>
          <w:cantSplit/>
          <w:trHeight w:val="121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05.01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Количество муниципальных контрактов, заключенных в целях создания (развития) сегментов аппаратно-программного комплекса "Безопасный город", ед.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Значение результата определяется суммарно </w:t>
            </w:r>
            <w:r w:rsidRPr="007E0A78">
              <w:rPr>
                <w:rFonts w:ascii="Times New Roman" w:hAnsi="Times New Roman"/>
                <w:sz w:val="18"/>
                <w:szCs w:val="18"/>
              </w:rPr>
              <w:br/>
              <w:t>по количеству заключенных и исполненных государственных контр</w:t>
            </w:r>
            <w:r w:rsidR="005647A8">
              <w:rPr>
                <w:rFonts w:ascii="Times New Roman" w:hAnsi="Times New Roman"/>
                <w:sz w:val="18"/>
                <w:szCs w:val="18"/>
              </w:rPr>
              <w:t>актов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Подпрограмма 3 «Обеспечение мероприятий гражданской обороны на территории муниципального образования Московской области»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 Московской области</w:t>
            </w:r>
          </w:p>
        </w:tc>
      </w:tr>
      <w:tr w:rsidR="00767942" w:rsidRPr="00AE20DA" w:rsidTr="00C84468">
        <w:trPr>
          <w:cantSplit/>
          <w:trHeight w:val="336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82D83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Обеспечена готовность технических средств оповещения 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х 100%,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коэффициент готовности технических средств оповещения МСОН (ТСО);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МСОН (КПГ), проводимых комиссиями органов местного самоуправления муниципальных образований Московской области;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количество ТСО, входящее в состав МСОН.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МСОН на текущий год.</w:t>
            </w:r>
          </w:p>
          <w:p w:rsidR="00767942" w:rsidRPr="007E0A78" w:rsidRDefault="00767942" w:rsidP="00F43768">
            <w:pPr>
              <w:tabs>
                <w:tab w:val="left" w:pos="1552"/>
              </w:tabs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 </w:t>
            </w:r>
            <w:proofErr w:type="spellStart"/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должно быть не ниже 90%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82D83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Развернуты современные технические средства оповещения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</w:t>
            </w:r>
            <w:r w:rsidR="005647A8">
              <w:rPr>
                <w:rFonts w:ascii="Times New Roman" w:hAnsi="Times New Roman"/>
                <w:sz w:val="18"/>
                <w:szCs w:val="18"/>
              </w:rPr>
              <w:t>даемой главой городского округа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02. 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767942" w:rsidRPr="00AE20DA" w:rsidTr="00C84468">
        <w:trPr>
          <w:cantSplit/>
          <w:trHeight w:val="251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02.01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82D83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782D83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</w:t>
            </w:r>
            <w:r w:rsidRPr="007E0A78">
              <w:rPr>
                <w:sz w:val="18"/>
                <w:szCs w:val="18"/>
              </w:rPr>
              <w:t xml:space="preserve"> в соответствии с </w:t>
            </w:r>
            <w:r w:rsidRPr="007E0A78">
              <w:rPr>
                <w:rFonts w:ascii="Times New Roman" w:hAnsi="Times New Roman"/>
                <w:sz w:val="18"/>
                <w:szCs w:val="18"/>
              </w:rPr>
              <w:t>утвержденной номенклатурой и объемами запасов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hAnsi="Times New Roman"/>
                <w:sz w:val="18"/>
                <w:szCs w:val="18"/>
              </w:rPr>
              <w:t>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</w:t>
            </w:r>
            <w:r w:rsidR="005647A8">
              <w:rPr>
                <w:rFonts w:ascii="Times New Roman" w:hAnsi="Times New Roman"/>
                <w:sz w:val="18"/>
                <w:szCs w:val="18"/>
              </w:rPr>
              <w:t>оссии 17.06.2016 № 2-4-71-34-11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E5254D">
            <w:pPr>
              <w:tabs>
                <w:tab w:val="left" w:pos="1260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03. 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F4273C" w:rsidP="00767942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tabs>
                <w:tab w:val="left" w:pos="1260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 № 2-4-71-34-11</w:t>
            </w:r>
          </w:p>
        </w:tc>
      </w:tr>
      <w:tr w:rsidR="00767942" w:rsidRPr="00AE20DA" w:rsidTr="001A72F5">
        <w:trPr>
          <w:cantSplit/>
          <w:trHeight w:val="215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left="70" w:right="105" w:hanging="7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Приказом МЧС России от 14.11.2008 № 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6.2016 № 2-4-71-34-11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дших подготовку должностных лиц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03.04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C84468">
        <w:trPr>
          <w:cantSplit/>
          <w:trHeight w:val="219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03.05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 № 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оссии 17.06.2016 № 2-4-71-34-11</w:t>
            </w:r>
          </w:p>
        </w:tc>
      </w:tr>
      <w:tr w:rsidR="00767942" w:rsidRPr="00AE20DA" w:rsidTr="00C84468">
        <w:trPr>
          <w:cantSplit/>
          <w:trHeight w:val="219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03.06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Разработан и утвержден План гражданской обороны и защиты населения муниципального образования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разработанных и утвержденных Планов гражданской обороны и защиты населения муниципального образования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Подпрограмма 4 «Обеспечение пожарной безопасности на территории муниципального образования Московской области»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1. Повышение степени пожарной безопасности на территории муниципального образования Московской области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 № 123-ФЗ «Технический регламент о требованиях пожарной безопасности» и от 21.12.1994 № 69-ФЗ «О пожарной безопасности»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пожарных водоемов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01.04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работающих </w:t>
            </w: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извещателей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суммарно по количеству работающих автономных дымовых пожарных </w:t>
            </w: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извещателей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установленных в местах проживания многодетных семей и семей, находящихся в трудной жизненной ситуации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F4273C" w:rsidP="00767942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01.05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 69-ФЗ «О пожарной безопасности» и от 22.07.2008 № 123-ФЗ «Технический регламент о требованиях пожарной безопасности» и на основании сведений представленных органами осуществляющими Федеральный государственный пожарный надзор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01.06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</w:t>
            </w:r>
          </w:p>
        </w:tc>
      </w:tr>
      <w:tr w:rsidR="00767942" w:rsidRPr="00AE20DA" w:rsidTr="00CD287D">
        <w:trPr>
          <w:cantSplit/>
          <w:trHeight w:val="90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01.07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Издание буклетов, плакатов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767942" w:rsidRPr="00AE20DA" w:rsidTr="00CD287D">
        <w:trPr>
          <w:cantSplit/>
          <w:trHeight w:val="21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01.08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 № 1479</w:t>
            </w:r>
          </w:p>
          <w:p w:rsidR="00767942" w:rsidRPr="007E0A78" w:rsidRDefault="00767942" w:rsidP="00E33769">
            <w:pPr>
              <w:spacing w:after="0" w:line="240" w:lineRule="auto"/>
              <w:ind w:right="284" w:firstLine="6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сведений представленных органами, осуществляющими Федеральный государственный пожарный надзор</w:t>
            </w:r>
          </w:p>
        </w:tc>
      </w:tr>
      <w:tr w:rsidR="00767942" w:rsidRPr="00AE20DA" w:rsidTr="00CD287D">
        <w:trPr>
          <w:cantSplit/>
          <w:trHeight w:val="154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01.10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ЧС России по Московской области</w:t>
            </w:r>
          </w:p>
        </w:tc>
      </w:tr>
      <w:tr w:rsidR="00767942" w:rsidRPr="00AE20DA" w:rsidTr="002419AB">
        <w:trPr>
          <w:cantSplit/>
          <w:trHeight w:val="20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01.11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3A6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</w:t>
            </w:r>
            <w:proofErr w:type="gram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созданы  противопожарные</w:t>
            </w:r>
            <w:proofErr w:type="gram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минерализованные полосы и на основании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сведений представленных органами, осуществляющими Федеральный 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государственный пожарный надзор</w:t>
            </w:r>
          </w:p>
          <w:p w:rsidR="00767942" w:rsidRPr="007E0A78" w:rsidRDefault="00767942" w:rsidP="00E33769">
            <w:pPr>
              <w:spacing w:after="0" w:line="240" w:lineRule="auto"/>
              <w:ind w:right="284" w:firstLine="6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7942" w:rsidRPr="00AE20DA" w:rsidTr="00CD287D">
        <w:trPr>
          <w:cantSplit/>
          <w:trHeight w:val="126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01.13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3A6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возведенных пожарных депо и на основании отчетов об исполнении Соглашения о реа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лизации инвестиционного проекта</w:t>
            </w:r>
          </w:p>
        </w:tc>
      </w:tr>
      <w:tr w:rsidR="00767942" w:rsidRPr="00AE20DA" w:rsidTr="002F7872">
        <w:trPr>
          <w:cantSplit/>
          <w:trHeight w:val="208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Подпрограмма 5 «Обеспечение безопасности населения на водных объектах,  расположенных на территории муниципального образования Московской области»</w:t>
            </w:r>
          </w:p>
        </w:tc>
      </w:tr>
      <w:tr w:rsidR="00767942" w:rsidRPr="00AE20DA" w:rsidTr="002F7872">
        <w:trPr>
          <w:cantSplit/>
          <w:trHeight w:val="208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01.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</w:tr>
      <w:tr w:rsidR="00767942" w:rsidRPr="00AE20DA" w:rsidTr="002419AB">
        <w:trPr>
          <w:cantSplit/>
          <w:trHeight w:val="20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E26D8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 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Значение определяется суммарно по количеству проведенных мероприятий в соответствии с постановлением Правительства Московской области от 28.09.2007 № 732/21 «О Правилах охраны жизни людей на водных объектах в Московской области», </w:t>
            </w:r>
          </w:p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«Водный кодекс Российской Федерации» от 03.06.2006 № 74-ФЗ</w:t>
            </w:r>
          </w:p>
        </w:tc>
      </w:tr>
      <w:tr w:rsidR="00767942" w:rsidRPr="00AE20DA" w:rsidTr="002419AB">
        <w:trPr>
          <w:cantSplit/>
          <w:trHeight w:val="20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 01.02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 в том числе проведение лабораторных исследований воды и почвы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Значение результата определяется суммарно по количеству  благоустроенных мест отдыха у воды в части касающейся безопасности населения</w:t>
            </w:r>
          </w:p>
        </w:tc>
      </w:tr>
      <w:tr w:rsidR="00767942" w:rsidRPr="00AE20DA" w:rsidTr="002419AB">
        <w:trPr>
          <w:cantSplit/>
          <w:trHeight w:val="20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E26D8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 01.03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Значение результата определяется суммарно по количеству человек, прошедших обучение в соответствии с требованиями федеральных законов от 12.02.1998 № 28-ФЗ «О гражданской обороне» и от 21.12.1994 № 68-ФЗ «О защите населения и территорий </w:t>
            </w:r>
          </w:p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техногенного характера» и от 02.11.2000 № 841 </w:t>
            </w:r>
          </w:p>
          <w:p w:rsidR="00767942" w:rsidRPr="007E0A78" w:rsidRDefault="00767942" w:rsidP="0081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 и учебы</w:t>
            </w:r>
            <w:r w:rsidR="001A436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C84468" w:rsidRDefault="00C84468" w:rsidP="00A137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33FC8" w:rsidRPr="00676414" w:rsidRDefault="00833FC8" w:rsidP="00833FC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1D43" w:rsidRDefault="00A1370F" w:rsidP="00833FC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408B" w:rsidRPr="00833FC8" w:rsidRDefault="0011408B" w:rsidP="001140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33FC8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833FC8">
        <w:rPr>
          <w:rFonts w:ascii="Times New Roman" w:hAnsi="Times New Roman" w:cs="Times New Roman"/>
          <w:sz w:val="26"/>
          <w:szCs w:val="26"/>
        </w:rPr>
        <w:t>. начальника Управления по вопросам</w:t>
      </w:r>
    </w:p>
    <w:p w:rsidR="0011408B" w:rsidRPr="00833FC8" w:rsidRDefault="0011408B" w:rsidP="001140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3FC8">
        <w:rPr>
          <w:rFonts w:ascii="Times New Roman" w:hAnsi="Times New Roman" w:cs="Times New Roman"/>
          <w:sz w:val="26"/>
          <w:szCs w:val="26"/>
        </w:rPr>
        <w:t>территориальной безопасности, гражданской обороны,</w:t>
      </w:r>
    </w:p>
    <w:p w:rsidR="0011408B" w:rsidRPr="00833FC8" w:rsidRDefault="0011408B" w:rsidP="001140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3FC8">
        <w:rPr>
          <w:rFonts w:ascii="Times New Roman" w:hAnsi="Times New Roman" w:cs="Times New Roman"/>
          <w:sz w:val="26"/>
          <w:szCs w:val="26"/>
        </w:rPr>
        <w:t xml:space="preserve">защиты населения и территории </w:t>
      </w:r>
    </w:p>
    <w:p w:rsidR="005752B2" w:rsidRPr="005752B2" w:rsidRDefault="0011408B" w:rsidP="0011408B">
      <w:pPr>
        <w:spacing w:after="0" w:line="240" w:lineRule="auto"/>
        <w:rPr>
          <w:rFonts w:ascii="Times New Roman" w:hAnsi="Times New Roman" w:cs="Times New Roman"/>
        </w:rPr>
      </w:pPr>
      <w:r w:rsidRPr="00833FC8">
        <w:rPr>
          <w:rFonts w:ascii="Times New Roman" w:hAnsi="Times New Roman" w:cs="Times New Roman"/>
          <w:sz w:val="26"/>
          <w:szCs w:val="26"/>
        </w:rPr>
        <w:t>от чрезвычайных ситуаций</w:t>
      </w:r>
      <w:r w:rsidR="001F4D3D" w:rsidRPr="00833F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F329A3" w:rsidRPr="00833FC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84468" w:rsidRPr="00833FC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33FC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84468" w:rsidRPr="00833FC8">
        <w:rPr>
          <w:rFonts w:ascii="Times New Roman" w:hAnsi="Times New Roman" w:cs="Times New Roman"/>
          <w:sz w:val="26"/>
          <w:szCs w:val="26"/>
        </w:rPr>
        <w:t xml:space="preserve">     </w:t>
      </w:r>
      <w:r w:rsidR="00C46863" w:rsidRPr="00833FC8">
        <w:rPr>
          <w:rFonts w:ascii="Times New Roman" w:hAnsi="Times New Roman" w:cs="Times New Roman"/>
          <w:sz w:val="26"/>
          <w:szCs w:val="26"/>
        </w:rPr>
        <w:t xml:space="preserve">   </w:t>
      </w:r>
      <w:r w:rsidR="00A65816" w:rsidRPr="00833FC8">
        <w:rPr>
          <w:rFonts w:ascii="Times New Roman" w:hAnsi="Times New Roman" w:cs="Times New Roman"/>
          <w:sz w:val="26"/>
          <w:szCs w:val="26"/>
        </w:rPr>
        <w:t xml:space="preserve">    </w:t>
      </w:r>
      <w:r w:rsidR="00C46863" w:rsidRPr="00833FC8">
        <w:rPr>
          <w:rFonts w:ascii="Times New Roman" w:hAnsi="Times New Roman" w:cs="Times New Roman"/>
          <w:sz w:val="26"/>
          <w:szCs w:val="26"/>
        </w:rPr>
        <w:t xml:space="preserve">      </w:t>
      </w:r>
      <w:r w:rsidR="00A65816">
        <w:rPr>
          <w:rFonts w:ascii="Times New Roman" w:hAnsi="Times New Roman" w:cs="Times New Roman"/>
          <w:sz w:val="26"/>
          <w:szCs w:val="26"/>
        </w:rPr>
        <w:t>Е.Е. Бугай</w:t>
      </w:r>
    </w:p>
    <w:sectPr w:rsidR="005752B2" w:rsidRPr="005752B2" w:rsidSect="00C84468">
      <w:headerReference w:type="default" r:id="rId6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D33" w:rsidRDefault="00694D33" w:rsidP="00C84468">
      <w:pPr>
        <w:spacing w:after="0" w:line="240" w:lineRule="auto"/>
      </w:pPr>
      <w:r>
        <w:separator/>
      </w:r>
    </w:p>
  </w:endnote>
  <w:endnote w:type="continuationSeparator" w:id="0">
    <w:p w:rsidR="00694D33" w:rsidRDefault="00694D33" w:rsidP="00C8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D33" w:rsidRDefault="00694D33" w:rsidP="00C84468">
      <w:pPr>
        <w:spacing w:after="0" w:line="240" w:lineRule="auto"/>
      </w:pPr>
      <w:r>
        <w:separator/>
      </w:r>
    </w:p>
  </w:footnote>
  <w:footnote w:type="continuationSeparator" w:id="0">
    <w:p w:rsidR="00694D33" w:rsidRDefault="00694D33" w:rsidP="00C8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22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7872" w:rsidRPr="00C84468" w:rsidRDefault="002F7872">
        <w:pPr>
          <w:pStyle w:val="a7"/>
          <w:jc w:val="center"/>
          <w:rPr>
            <w:rFonts w:ascii="Times New Roman" w:hAnsi="Times New Roman" w:cs="Times New Roman"/>
          </w:rPr>
        </w:pPr>
        <w:r w:rsidRPr="00C84468">
          <w:rPr>
            <w:rFonts w:ascii="Times New Roman" w:hAnsi="Times New Roman" w:cs="Times New Roman"/>
          </w:rPr>
          <w:fldChar w:fldCharType="begin"/>
        </w:r>
        <w:r w:rsidRPr="00C84468">
          <w:rPr>
            <w:rFonts w:ascii="Times New Roman" w:hAnsi="Times New Roman" w:cs="Times New Roman"/>
          </w:rPr>
          <w:instrText>PAGE   \* MERGEFORMAT</w:instrText>
        </w:r>
        <w:r w:rsidRPr="00C84468">
          <w:rPr>
            <w:rFonts w:ascii="Times New Roman" w:hAnsi="Times New Roman" w:cs="Times New Roman"/>
          </w:rPr>
          <w:fldChar w:fldCharType="separate"/>
        </w:r>
        <w:r w:rsidR="00AD5CFA">
          <w:rPr>
            <w:rFonts w:ascii="Times New Roman" w:hAnsi="Times New Roman" w:cs="Times New Roman"/>
            <w:noProof/>
          </w:rPr>
          <w:t>12</w:t>
        </w:r>
        <w:r w:rsidRPr="00C84468">
          <w:rPr>
            <w:rFonts w:ascii="Times New Roman" w:hAnsi="Times New Roman" w:cs="Times New Roman"/>
          </w:rPr>
          <w:fldChar w:fldCharType="end"/>
        </w:r>
      </w:p>
    </w:sdtContent>
  </w:sdt>
  <w:p w:rsidR="002F7872" w:rsidRPr="00C84468" w:rsidRDefault="002F7872">
    <w:pPr>
      <w:pStyle w:val="a7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B2"/>
    <w:rsid w:val="00002212"/>
    <w:rsid w:val="0003074C"/>
    <w:rsid w:val="00032282"/>
    <w:rsid w:val="00050821"/>
    <w:rsid w:val="0005483A"/>
    <w:rsid w:val="00056D7C"/>
    <w:rsid w:val="00065D05"/>
    <w:rsid w:val="00094777"/>
    <w:rsid w:val="000A1520"/>
    <w:rsid w:val="000A7659"/>
    <w:rsid w:val="000B1EEC"/>
    <w:rsid w:val="000B6CBB"/>
    <w:rsid w:val="000C2385"/>
    <w:rsid w:val="000C358E"/>
    <w:rsid w:val="000C67F1"/>
    <w:rsid w:val="000D386C"/>
    <w:rsid w:val="000D6486"/>
    <w:rsid w:val="000D7DD0"/>
    <w:rsid w:val="000F36A4"/>
    <w:rsid w:val="000F6818"/>
    <w:rsid w:val="001029F4"/>
    <w:rsid w:val="0011028F"/>
    <w:rsid w:val="0011408B"/>
    <w:rsid w:val="00115CE9"/>
    <w:rsid w:val="00116636"/>
    <w:rsid w:val="0012685F"/>
    <w:rsid w:val="001408BE"/>
    <w:rsid w:val="00143728"/>
    <w:rsid w:val="0015430C"/>
    <w:rsid w:val="001679A4"/>
    <w:rsid w:val="00167E8B"/>
    <w:rsid w:val="00196F3A"/>
    <w:rsid w:val="001A436A"/>
    <w:rsid w:val="001A72F5"/>
    <w:rsid w:val="001C3E4D"/>
    <w:rsid w:val="001C3E51"/>
    <w:rsid w:val="001C6AAC"/>
    <w:rsid w:val="001D0B05"/>
    <w:rsid w:val="001E5C14"/>
    <w:rsid w:val="001F460E"/>
    <w:rsid w:val="001F4D3D"/>
    <w:rsid w:val="001F56E3"/>
    <w:rsid w:val="00204D68"/>
    <w:rsid w:val="002076C1"/>
    <w:rsid w:val="00223E95"/>
    <w:rsid w:val="00232719"/>
    <w:rsid w:val="00240273"/>
    <w:rsid w:val="002419AB"/>
    <w:rsid w:val="002471B0"/>
    <w:rsid w:val="002628C2"/>
    <w:rsid w:val="00263859"/>
    <w:rsid w:val="002665AD"/>
    <w:rsid w:val="00291D43"/>
    <w:rsid w:val="00294648"/>
    <w:rsid w:val="002A1C61"/>
    <w:rsid w:val="002A1DF8"/>
    <w:rsid w:val="002A34C3"/>
    <w:rsid w:val="002B2F38"/>
    <w:rsid w:val="002B37E0"/>
    <w:rsid w:val="002B7949"/>
    <w:rsid w:val="002C3D48"/>
    <w:rsid w:val="002C3DD2"/>
    <w:rsid w:val="002C655C"/>
    <w:rsid w:val="002D1102"/>
    <w:rsid w:val="002E2B72"/>
    <w:rsid w:val="002E3202"/>
    <w:rsid w:val="002E39BF"/>
    <w:rsid w:val="002F0702"/>
    <w:rsid w:val="002F3701"/>
    <w:rsid w:val="002F3A17"/>
    <w:rsid w:val="002F7872"/>
    <w:rsid w:val="003015BA"/>
    <w:rsid w:val="00302957"/>
    <w:rsid w:val="00307F13"/>
    <w:rsid w:val="003113C6"/>
    <w:rsid w:val="00312126"/>
    <w:rsid w:val="00315B96"/>
    <w:rsid w:val="0031681F"/>
    <w:rsid w:val="00321980"/>
    <w:rsid w:val="00321C11"/>
    <w:rsid w:val="003270E6"/>
    <w:rsid w:val="00333740"/>
    <w:rsid w:val="00342A5F"/>
    <w:rsid w:val="00345607"/>
    <w:rsid w:val="00347D3C"/>
    <w:rsid w:val="003521AC"/>
    <w:rsid w:val="00352993"/>
    <w:rsid w:val="00366099"/>
    <w:rsid w:val="00381A01"/>
    <w:rsid w:val="00395305"/>
    <w:rsid w:val="0039747A"/>
    <w:rsid w:val="003A64D6"/>
    <w:rsid w:val="003B4F6B"/>
    <w:rsid w:val="003D7423"/>
    <w:rsid w:val="003F6029"/>
    <w:rsid w:val="00402922"/>
    <w:rsid w:val="00403B8B"/>
    <w:rsid w:val="00406709"/>
    <w:rsid w:val="00407719"/>
    <w:rsid w:val="00416F0D"/>
    <w:rsid w:val="00420AD9"/>
    <w:rsid w:val="00464B95"/>
    <w:rsid w:val="00472368"/>
    <w:rsid w:val="00483512"/>
    <w:rsid w:val="00484CFF"/>
    <w:rsid w:val="00487A9C"/>
    <w:rsid w:val="004C1552"/>
    <w:rsid w:val="004C20A4"/>
    <w:rsid w:val="004C3AA9"/>
    <w:rsid w:val="004D1969"/>
    <w:rsid w:val="004D3C3B"/>
    <w:rsid w:val="004D438E"/>
    <w:rsid w:val="004D5C6A"/>
    <w:rsid w:val="004D72D6"/>
    <w:rsid w:val="004E7AA9"/>
    <w:rsid w:val="004E7BC2"/>
    <w:rsid w:val="004F4016"/>
    <w:rsid w:val="004F51D0"/>
    <w:rsid w:val="004F60C9"/>
    <w:rsid w:val="00503CBA"/>
    <w:rsid w:val="00507907"/>
    <w:rsid w:val="00515224"/>
    <w:rsid w:val="00546036"/>
    <w:rsid w:val="005471E8"/>
    <w:rsid w:val="005522A0"/>
    <w:rsid w:val="00552814"/>
    <w:rsid w:val="00556883"/>
    <w:rsid w:val="005647A8"/>
    <w:rsid w:val="005752B2"/>
    <w:rsid w:val="005856FD"/>
    <w:rsid w:val="00585E29"/>
    <w:rsid w:val="005875C9"/>
    <w:rsid w:val="00593AFD"/>
    <w:rsid w:val="005A134E"/>
    <w:rsid w:val="005B0734"/>
    <w:rsid w:val="005B3AA4"/>
    <w:rsid w:val="005B6A4D"/>
    <w:rsid w:val="005C5D2F"/>
    <w:rsid w:val="005D1C32"/>
    <w:rsid w:val="005D230F"/>
    <w:rsid w:val="005E2509"/>
    <w:rsid w:val="005E2AC3"/>
    <w:rsid w:val="005E499B"/>
    <w:rsid w:val="005F21C6"/>
    <w:rsid w:val="005F4A2C"/>
    <w:rsid w:val="005F7600"/>
    <w:rsid w:val="006056FB"/>
    <w:rsid w:val="00605EEB"/>
    <w:rsid w:val="00624460"/>
    <w:rsid w:val="00640148"/>
    <w:rsid w:val="00645945"/>
    <w:rsid w:val="00651FDA"/>
    <w:rsid w:val="00653BF0"/>
    <w:rsid w:val="0066095B"/>
    <w:rsid w:val="00671339"/>
    <w:rsid w:val="0067348E"/>
    <w:rsid w:val="00675932"/>
    <w:rsid w:val="00682FBD"/>
    <w:rsid w:val="00694D33"/>
    <w:rsid w:val="006B3A24"/>
    <w:rsid w:val="006B5A3A"/>
    <w:rsid w:val="006C0738"/>
    <w:rsid w:val="006E2AA4"/>
    <w:rsid w:val="006F2787"/>
    <w:rsid w:val="00704EE5"/>
    <w:rsid w:val="007155FA"/>
    <w:rsid w:val="00721814"/>
    <w:rsid w:val="007323E6"/>
    <w:rsid w:val="0073415E"/>
    <w:rsid w:val="00735BC7"/>
    <w:rsid w:val="007548C6"/>
    <w:rsid w:val="00757FCE"/>
    <w:rsid w:val="007628A5"/>
    <w:rsid w:val="00767942"/>
    <w:rsid w:val="007825EC"/>
    <w:rsid w:val="00782D83"/>
    <w:rsid w:val="00783B0C"/>
    <w:rsid w:val="007C2C8E"/>
    <w:rsid w:val="007D1B3F"/>
    <w:rsid w:val="007D4087"/>
    <w:rsid w:val="007D415A"/>
    <w:rsid w:val="007D49B8"/>
    <w:rsid w:val="007D76AD"/>
    <w:rsid w:val="007E0A78"/>
    <w:rsid w:val="007E528D"/>
    <w:rsid w:val="007F44A0"/>
    <w:rsid w:val="00812122"/>
    <w:rsid w:val="00816E9C"/>
    <w:rsid w:val="008255DC"/>
    <w:rsid w:val="00826962"/>
    <w:rsid w:val="0083129A"/>
    <w:rsid w:val="00833FC8"/>
    <w:rsid w:val="00846082"/>
    <w:rsid w:val="008507D7"/>
    <w:rsid w:val="00851EE1"/>
    <w:rsid w:val="00865B23"/>
    <w:rsid w:val="00873CAF"/>
    <w:rsid w:val="0088034D"/>
    <w:rsid w:val="008826B6"/>
    <w:rsid w:val="008827F8"/>
    <w:rsid w:val="008A3307"/>
    <w:rsid w:val="008C2156"/>
    <w:rsid w:val="008C37C8"/>
    <w:rsid w:val="008D27BA"/>
    <w:rsid w:val="008E6713"/>
    <w:rsid w:val="0090555B"/>
    <w:rsid w:val="00915FD4"/>
    <w:rsid w:val="00936215"/>
    <w:rsid w:val="00936C00"/>
    <w:rsid w:val="00941681"/>
    <w:rsid w:val="00961E8C"/>
    <w:rsid w:val="00961F18"/>
    <w:rsid w:val="00964BCE"/>
    <w:rsid w:val="00964BDA"/>
    <w:rsid w:val="00973B42"/>
    <w:rsid w:val="00974368"/>
    <w:rsid w:val="009813A2"/>
    <w:rsid w:val="009826FB"/>
    <w:rsid w:val="00987AB3"/>
    <w:rsid w:val="0099505F"/>
    <w:rsid w:val="009A09D5"/>
    <w:rsid w:val="009B4D68"/>
    <w:rsid w:val="009C1C12"/>
    <w:rsid w:val="009C605F"/>
    <w:rsid w:val="009C614E"/>
    <w:rsid w:val="009D0B88"/>
    <w:rsid w:val="009E26D8"/>
    <w:rsid w:val="009E36B3"/>
    <w:rsid w:val="00A01540"/>
    <w:rsid w:val="00A0260E"/>
    <w:rsid w:val="00A06D37"/>
    <w:rsid w:val="00A0709D"/>
    <w:rsid w:val="00A1370F"/>
    <w:rsid w:val="00A24C2C"/>
    <w:rsid w:val="00A31A68"/>
    <w:rsid w:val="00A507C3"/>
    <w:rsid w:val="00A5220F"/>
    <w:rsid w:val="00A57429"/>
    <w:rsid w:val="00A61B4A"/>
    <w:rsid w:val="00A65816"/>
    <w:rsid w:val="00A70C2E"/>
    <w:rsid w:val="00A77148"/>
    <w:rsid w:val="00A84067"/>
    <w:rsid w:val="00A93815"/>
    <w:rsid w:val="00A953AC"/>
    <w:rsid w:val="00AA5245"/>
    <w:rsid w:val="00AB07C6"/>
    <w:rsid w:val="00AB3F44"/>
    <w:rsid w:val="00AB3F73"/>
    <w:rsid w:val="00AB49C8"/>
    <w:rsid w:val="00AC2801"/>
    <w:rsid w:val="00AC5EFC"/>
    <w:rsid w:val="00AD5CFA"/>
    <w:rsid w:val="00AD637E"/>
    <w:rsid w:val="00AE3BDD"/>
    <w:rsid w:val="00AE736A"/>
    <w:rsid w:val="00AF168E"/>
    <w:rsid w:val="00B12BE8"/>
    <w:rsid w:val="00B17013"/>
    <w:rsid w:val="00B310C9"/>
    <w:rsid w:val="00B345FB"/>
    <w:rsid w:val="00B34EC5"/>
    <w:rsid w:val="00B72C0E"/>
    <w:rsid w:val="00B75647"/>
    <w:rsid w:val="00B807ED"/>
    <w:rsid w:val="00B86B14"/>
    <w:rsid w:val="00B94531"/>
    <w:rsid w:val="00BB3015"/>
    <w:rsid w:val="00BD2A0C"/>
    <w:rsid w:val="00BD3846"/>
    <w:rsid w:val="00BF5171"/>
    <w:rsid w:val="00C004B0"/>
    <w:rsid w:val="00C07C4E"/>
    <w:rsid w:val="00C13E4F"/>
    <w:rsid w:val="00C235FB"/>
    <w:rsid w:val="00C4401D"/>
    <w:rsid w:val="00C46863"/>
    <w:rsid w:val="00C472D1"/>
    <w:rsid w:val="00C71AA2"/>
    <w:rsid w:val="00C7319B"/>
    <w:rsid w:val="00C73E4D"/>
    <w:rsid w:val="00C81389"/>
    <w:rsid w:val="00C84468"/>
    <w:rsid w:val="00C84E7E"/>
    <w:rsid w:val="00C8517D"/>
    <w:rsid w:val="00C87A90"/>
    <w:rsid w:val="00C92D46"/>
    <w:rsid w:val="00C95696"/>
    <w:rsid w:val="00CA3E17"/>
    <w:rsid w:val="00CB60C7"/>
    <w:rsid w:val="00CC4C21"/>
    <w:rsid w:val="00CD287D"/>
    <w:rsid w:val="00CE2515"/>
    <w:rsid w:val="00D009E8"/>
    <w:rsid w:val="00D018DB"/>
    <w:rsid w:val="00D266A8"/>
    <w:rsid w:val="00D31987"/>
    <w:rsid w:val="00D33ACA"/>
    <w:rsid w:val="00D37DDD"/>
    <w:rsid w:val="00D47CCE"/>
    <w:rsid w:val="00D54430"/>
    <w:rsid w:val="00D96892"/>
    <w:rsid w:val="00DA4268"/>
    <w:rsid w:val="00DA5783"/>
    <w:rsid w:val="00DA75A4"/>
    <w:rsid w:val="00DB112A"/>
    <w:rsid w:val="00DC1170"/>
    <w:rsid w:val="00DC21D4"/>
    <w:rsid w:val="00DC25C1"/>
    <w:rsid w:val="00DE5705"/>
    <w:rsid w:val="00DF5AAB"/>
    <w:rsid w:val="00DF651E"/>
    <w:rsid w:val="00E22B9A"/>
    <w:rsid w:val="00E32B6A"/>
    <w:rsid w:val="00E33769"/>
    <w:rsid w:val="00E50065"/>
    <w:rsid w:val="00E5254D"/>
    <w:rsid w:val="00E55D16"/>
    <w:rsid w:val="00E746E9"/>
    <w:rsid w:val="00E75186"/>
    <w:rsid w:val="00E8073B"/>
    <w:rsid w:val="00E81C00"/>
    <w:rsid w:val="00E90675"/>
    <w:rsid w:val="00E9614F"/>
    <w:rsid w:val="00ED23B2"/>
    <w:rsid w:val="00ED55B6"/>
    <w:rsid w:val="00ED5971"/>
    <w:rsid w:val="00EE7F87"/>
    <w:rsid w:val="00EF3126"/>
    <w:rsid w:val="00F01BB0"/>
    <w:rsid w:val="00F1200C"/>
    <w:rsid w:val="00F14555"/>
    <w:rsid w:val="00F30C90"/>
    <w:rsid w:val="00F31CDE"/>
    <w:rsid w:val="00F329A3"/>
    <w:rsid w:val="00F4273C"/>
    <w:rsid w:val="00F43768"/>
    <w:rsid w:val="00F44292"/>
    <w:rsid w:val="00F458B8"/>
    <w:rsid w:val="00F45A83"/>
    <w:rsid w:val="00F52C45"/>
    <w:rsid w:val="00F52D56"/>
    <w:rsid w:val="00F64E96"/>
    <w:rsid w:val="00F66349"/>
    <w:rsid w:val="00F75C77"/>
    <w:rsid w:val="00F84782"/>
    <w:rsid w:val="00F8729C"/>
    <w:rsid w:val="00F93EB1"/>
    <w:rsid w:val="00F96AAB"/>
    <w:rsid w:val="00F96B84"/>
    <w:rsid w:val="00FA0D7E"/>
    <w:rsid w:val="00FA763F"/>
    <w:rsid w:val="00FB513A"/>
    <w:rsid w:val="00FE3634"/>
    <w:rsid w:val="00FF3E95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1217C-FC4F-4FB3-8D7C-8D10DB2B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752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7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1C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B6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57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8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4468"/>
  </w:style>
  <w:style w:type="paragraph" w:styleId="a9">
    <w:name w:val="footer"/>
    <w:basedOn w:val="a"/>
    <w:link w:val="aa"/>
    <w:uiPriority w:val="99"/>
    <w:unhideWhenUsed/>
    <w:rsid w:val="00C8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4468"/>
  </w:style>
  <w:style w:type="paragraph" w:styleId="ab">
    <w:name w:val="List Paragraph"/>
    <w:basedOn w:val="a"/>
    <w:uiPriority w:val="34"/>
    <w:qFormat/>
    <w:rsid w:val="00851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rsid w:val="00851EE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51EE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5280</Words>
  <Characters>30097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 Андрей Анатольевич</dc:creator>
  <cp:keywords/>
  <dc:description/>
  <cp:lastModifiedBy>Крыкова Ольга Александровна</cp:lastModifiedBy>
  <cp:revision>273</cp:revision>
  <cp:lastPrinted>2025-11-11T14:25:00Z</cp:lastPrinted>
  <dcterms:created xsi:type="dcterms:W3CDTF">2024-02-28T09:13:00Z</dcterms:created>
  <dcterms:modified xsi:type="dcterms:W3CDTF">2026-04-30T07:53:00Z</dcterms:modified>
</cp:coreProperties>
</file>