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AD5909" w:rsidRPr="00AD5909">
        <w:rPr>
          <w:sz w:val="27"/>
          <w:szCs w:val="27"/>
        </w:rPr>
        <w:t>50:20:0020202:1089</w:t>
      </w:r>
      <w:r w:rsidR="00AC23D4">
        <w:rPr>
          <w:sz w:val="27"/>
          <w:szCs w:val="27"/>
        </w:rPr>
        <w:t>9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3F593C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proofErr w:type="gramStart"/>
      <w:r w:rsidRPr="00C10DFB">
        <w:rPr>
          <w:color w:val="000000" w:themeColor="text1"/>
        </w:rPr>
        <w:t xml:space="preserve">В соответствии с Градостроительным </w:t>
      </w:r>
      <w:hyperlink r:id="rId10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1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proofErr w:type="gramEnd"/>
      <w:r w:rsidRPr="00C10DFB">
        <w:rPr>
          <w:color w:val="000000" w:themeColor="text1"/>
          <w:spacing w:val="-3"/>
        </w:rPr>
        <w:t xml:space="preserve"> </w:t>
      </w:r>
      <w:proofErr w:type="gramStart"/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</w:t>
      </w:r>
      <w:r w:rsidR="00AC23D4">
        <w:rPr>
          <w:color w:val="000000" w:themeColor="text1"/>
        </w:rPr>
        <w:t>а</w:t>
      </w:r>
      <w:r w:rsidRPr="00C10DFB">
        <w:rPr>
          <w:color w:val="000000" w:themeColor="text1"/>
        </w:rPr>
        <w:t>дминистрации Одинцовского городского округа Московской области от 28.09.2021</w:t>
      </w:r>
      <w:proofErr w:type="gramEnd"/>
      <w:r w:rsidRPr="00C10DFB">
        <w:rPr>
          <w:color w:val="000000" w:themeColor="text1"/>
        </w:rPr>
        <w:t xml:space="preserve"> № </w:t>
      </w:r>
      <w:proofErr w:type="gramStart"/>
      <w:r w:rsidRPr="00C10DFB">
        <w:rPr>
          <w:color w:val="000000" w:themeColor="text1"/>
        </w:rPr>
        <w:t xml:space="preserve">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lastRenderedPageBreak/>
        <w:t xml:space="preserve">от </w:t>
      </w:r>
      <w:r w:rsidR="001075F9">
        <w:rPr>
          <w:color w:val="000000" w:themeColor="text1"/>
        </w:rPr>
        <w:t>30.12</w:t>
      </w:r>
      <w:r w:rsidR="007322A7">
        <w:rPr>
          <w:color w:val="000000" w:themeColor="text1"/>
        </w:rPr>
        <w:t>.2025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</w:t>
      </w:r>
      <w:r w:rsidR="00795A92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="00AC23D4">
        <w:t>ООО «РАЙТПРОЕКТ»</w:t>
      </w:r>
      <w:r w:rsidR="00AC23D4">
        <w:rPr>
          <w:color w:val="000000" w:themeColor="text1"/>
        </w:rPr>
        <w:t xml:space="preserve"> </w:t>
      </w:r>
      <w:r w:rsidR="00AC23D4" w:rsidRPr="003F593C">
        <w:rPr>
          <w:color w:val="000000" w:themeColor="text1"/>
        </w:rPr>
        <w:t xml:space="preserve">(регистрационный номер в реестре </w:t>
      </w:r>
      <w:r w:rsidR="00AC23D4">
        <w:rPr>
          <w:color w:val="000000" w:themeColor="text1"/>
        </w:rPr>
        <w:br/>
      </w:r>
      <w:r w:rsidR="00AC23D4" w:rsidRPr="003F593C">
        <w:rPr>
          <w:color w:val="000000" w:themeColor="text1"/>
        </w:rPr>
        <w:t>членов</w:t>
      </w:r>
      <w:proofErr w:type="gramEnd"/>
      <w:r w:rsidR="00AC23D4" w:rsidRPr="003F593C">
        <w:rPr>
          <w:color w:val="000000" w:themeColor="text1"/>
        </w:rPr>
        <w:t xml:space="preserve"> </w:t>
      </w:r>
      <w:proofErr w:type="gramStart"/>
      <w:r w:rsidR="00AC23D4">
        <w:rPr>
          <w:color w:val="000000" w:themeColor="text1"/>
        </w:rPr>
        <w:t>Ассоциации «Саморегулируемая организация «</w:t>
      </w:r>
      <w:r w:rsidR="00AC23D4" w:rsidRPr="00321412">
        <w:rPr>
          <w:color w:val="000000" w:themeColor="text1"/>
        </w:rPr>
        <w:t>Региональн</w:t>
      </w:r>
      <w:r w:rsidR="00AC23D4">
        <w:rPr>
          <w:color w:val="000000" w:themeColor="text1"/>
        </w:rPr>
        <w:t xml:space="preserve">ое Объединение Проектировщиков» СРО-П-189-26032014 от 24.12.2018 </w:t>
      </w:r>
      <w:r w:rsidR="00AC23D4">
        <w:rPr>
          <w:color w:val="000000" w:themeColor="text1"/>
        </w:rPr>
        <w:br/>
        <w:t xml:space="preserve">№ </w:t>
      </w:r>
      <w:r w:rsidR="00AC23D4" w:rsidRPr="00321412">
        <w:t>П-189-005032299382-0141</w:t>
      </w:r>
      <w:r w:rsidR="00AC23D4" w:rsidRPr="003F593C">
        <w:rPr>
          <w:color w:val="000000" w:themeColor="text1"/>
        </w:rPr>
        <w:t>),</w:t>
      </w:r>
      <w:r w:rsidR="00AC23D4" w:rsidRPr="003F593C">
        <w:rPr>
          <w:color w:val="000000" w:themeColor="text1"/>
          <w:spacing w:val="-7"/>
        </w:rPr>
        <w:t xml:space="preserve"> </w:t>
      </w:r>
      <w:r w:rsidR="00AC23D4" w:rsidRPr="003F593C">
        <w:rPr>
          <w:color w:val="000000" w:themeColor="text1"/>
        </w:rPr>
        <w:t>заявление</w:t>
      </w:r>
      <w:r w:rsidR="00AC23D4" w:rsidRPr="001075F9">
        <w:rPr>
          <w:color w:val="000000" w:themeColor="text1"/>
        </w:rPr>
        <w:t xml:space="preserve"> </w:t>
      </w:r>
      <w:r w:rsidR="00AC23D4">
        <w:rPr>
          <w:bCs/>
          <w:color w:val="000000" w:themeColor="text1"/>
          <w:shd w:val="clear" w:color="auto" w:fill="FFFFFF"/>
        </w:rPr>
        <w:t>о</w:t>
      </w:r>
      <w:r w:rsidR="00AC23D4" w:rsidRPr="00477291">
        <w:rPr>
          <w:bCs/>
          <w:color w:val="000000" w:themeColor="text1"/>
          <w:shd w:val="clear" w:color="auto" w:fill="FFFFFF"/>
        </w:rPr>
        <w:t>бществ</w:t>
      </w:r>
      <w:r w:rsidR="00AC23D4">
        <w:rPr>
          <w:bCs/>
          <w:color w:val="000000" w:themeColor="text1"/>
          <w:shd w:val="clear" w:color="auto" w:fill="FFFFFF"/>
        </w:rPr>
        <w:t>а</w:t>
      </w:r>
      <w:r w:rsidR="00AC23D4" w:rsidRPr="00477291">
        <w:rPr>
          <w:bCs/>
          <w:color w:val="000000" w:themeColor="text1"/>
          <w:shd w:val="clear" w:color="auto" w:fill="FFFFFF"/>
        </w:rPr>
        <w:t xml:space="preserve"> с</w:t>
      </w:r>
      <w:r w:rsidR="00AC23D4">
        <w:rPr>
          <w:bCs/>
          <w:color w:val="000000" w:themeColor="text1"/>
          <w:shd w:val="clear" w:color="auto" w:fill="FFFFFF"/>
        </w:rPr>
        <w:t xml:space="preserve"> ограниченной ответственностью «Терма Гранд»</w:t>
      </w:r>
      <w:r w:rsidR="00AC23D4" w:rsidRPr="003F593C">
        <w:rPr>
          <w:color w:val="000000" w:themeColor="text1"/>
          <w:spacing w:val="-2"/>
        </w:rPr>
        <w:t>:</w:t>
      </w:r>
      <w:proofErr w:type="gramEnd"/>
    </w:p>
    <w:p w:rsidR="00AC23D4" w:rsidRPr="00C10DFB" w:rsidRDefault="00AC23D4" w:rsidP="00AC23D4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proofErr w:type="gramStart"/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Pr="000A2FF8">
        <w:rPr>
          <w:sz w:val="27"/>
          <w:szCs w:val="27"/>
        </w:rPr>
        <w:t>50:20:0020202:1089</w:t>
      </w:r>
      <w:r w:rsidR="00855917">
        <w:rPr>
          <w:sz w:val="27"/>
          <w:szCs w:val="27"/>
        </w:rPr>
        <w:t>9</w:t>
      </w:r>
      <w:r>
        <w:rPr>
          <w:color w:val="000000" w:themeColor="text1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855917">
        <w:rPr>
          <w:bCs/>
          <w:color w:val="000000" w:themeColor="text1"/>
          <w:sz w:val="27"/>
          <w:szCs w:val="27"/>
          <w:shd w:val="clear" w:color="auto" w:fill="FFFFFF"/>
        </w:rPr>
        <w:t>506</w:t>
      </w:r>
      <w:bookmarkStart w:id="2" w:name="_GoBack"/>
      <w:bookmarkEnd w:id="2"/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м </w:t>
      </w:r>
      <w:r w:rsidRPr="00C10DFB">
        <w:rPr>
          <w:color w:val="000000" w:themeColor="text1"/>
        </w:rPr>
        <w:t xml:space="preserve">в части увеличения максимального процента застройки до </w:t>
      </w:r>
      <w:r>
        <w:rPr>
          <w:color w:val="000000" w:themeColor="text1"/>
        </w:rPr>
        <w:t xml:space="preserve">40% </w:t>
      </w:r>
      <w:r w:rsidRPr="00C10DFB">
        <w:rPr>
          <w:color w:val="000000" w:themeColor="text1"/>
        </w:rPr>
        <w:t>для вида разрешенного использования земельного участка «для индивидуаль</w:t>
      </w:r>
      <w:r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  <w:proofErr w:type="gramEnd"/>
    </w:p>
    <w:p w:rsidR="00AC23D4" w:rsidRPr="00C10DFB" w:rsidRDefault="00AC23D4" w:rsidP="00AC23D4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</w:t>
      </w:r>
      <w:r>
        <w:rPr>
          <w:color w:val="000000" w:themeColor="text1"/>
        </w:rPr>
        <w:t xml:space="preserve">тирование, </w:t>
      </w:r>
      <w:r w:rsidRPr="00C10DFB">
        <w:rPr>
          <w:color w:val="000000" w:themeColor="text1"/>
        </w:rPr>
        <w:t>строительство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9232CA">
        <w:rPr>
          <w:color w:val="000000" w:themeColor="text1"/>
        </w:rPr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C23D4" w:rsidRPr="00C10DFB" w:rsidRDefault="00AC23D4" w:rsidP="00AC23D4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</w:t>
      </w:r>
      <w:proofErr w:type="gramStart"/>
      <w:r w:rsidRPr="00C10DFB">
        <w:rPr>
          <w:color w:val="000000" w:themeColor="text1"/>
        </w:rPr>
        <w:t>информации Управления координации деятельности Комитета</w:t>
      </w:r>
      <w:proofErr w:type="gramEnd"/>
      <w:r w:rsidRPr="00C10DFB">
        <w:rPr>
          <w:color w:val="000000" w:themeColor="text1"/>
        </w:rPr>
        <w:t xml:space="preserve"> по архитектуре </w:t>
      </w:r>
      <w:r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2">
        <w:r w:rsidRPr="00C10DFB">
          <w:rPr>
            <w:color w:val="000000" w:themeColor="text1"/>
          </w:rPr>
          <w:t>www.mosreg.ru).</w:t>
        </w:r>
      </w:hyperlink>
    </w:p>
    <w:p w:rsidR="00AC23D4" w:rsidRPr="00C10DFB" w:rsidRDefault="00AC23D4" w:rsidP="00AC23D4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proofErr w:type="gramStart"/>
      <w:r w:rsidRPr="00C10DFB">
        <w:rPr>
          <w:color w:val="000000" w:themeColor="text1"/>
        </w:rPr>
        <w:t>Контроль за</w:t>
      </w:r>
      <w:proofErr w:type="gramEnd"/>
      <w:r w:rsidRPr="00C10DFB">
        <w:rPr>
          <w:color w:val="000000" w:themeColor="text1"/>
        </w:rPr>
        <w:t xml:space="preserve"> выполнением пункт</w:t>
      </w:r>
      <w:r>
        <w:rPr>
          <w:color w:val="000000" w:themeColor="text1"/>
        </w:rPr>
        <w:t>ов</w:t>
      </w:r>
      <w:r w:rsidRPr="00C10DFB">
        <w:rPr>
          <w:color w:val="000000" w:themeColor="text1"/>
        </w:rPr>
        <w:t xml:space="preserve">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1D20CF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 xml:space="preserve">Комитета </w:t>
      </w:r>
    </w:p>
    <w:p w:rsidR="00C10DFB" w:rsidRPr="00C10DFB" w:rsidRDefault="00C10DFB" w:rsidP="00C10DFB">
      <w:pPr>
        <w:pStyle w:val="af1"/>
        <w:ind w:right="4535"/>
        <w:rPr>
          <w:color w:val="000000" w:themeColor="text1"/>
        </w:rPr>
      </w:pPr>
      <w:r w:rsidRPr="00C10DFB">
        <w:rPr>
          <w:color w:val="000000" w:themeColor="text1"/>
        </w:rPr>
        <w:t>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3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BB" w:rsidRDefault="00E515BB" w:rsidP="00750CCF">
      <w:pPr>
        <w:spacing w:line="240" w:lineRule="auto"/>
      </w:pPr>
      <w:r>
        <w:separator/>
      </w:r>
    </w:p>
  </w:endnote>
  <w:endnote w:type="continuationSeparator" w:id="0">
    <w:p w:rsidR="00E515BB" w:rsidRDefault="00E515BB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BB" w:rsidRDefault="00E515BB" w:rsidP="00750CCF">
      <w:pPr>
        <w:spacing w:line="240" w:lineRule="auto"/>
      </w:pPr>
      <w:r>
        <w:separator/>
      </w:r>
    </w:p>
  </w:footnote>
  <w:footnote w:type="continuationSeparator" w:id="0">
    <w:p w:rsidR="00E515BB" w:rsidRDefault="00E515BB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A0732"/>
    <w:rsid w:val="000C1881"/>
    <w:rsid w:val="000D0540"/>
    <w:rsid w:val="000D352B"/>
    <w:rsid w:val="000E13C4"/>
    <w:rsid w:val="00104A20"/>
    <w:rsid w:val="001075F9"/>
    <w:rsid w:val="001101D8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0CF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647C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22A7"/>
    <w:rsid w:val="00733460"/>
    <w:rsid w:val="00733718"/>
    <w:rsid w:val="007427E9"/>
    <w:rsid w:val="00750CCF"/>
    <w:rsid w:val="0076730F"/>
    <w:rsid w:val="00784305"/>
    <w:rsid w:val="00794E65"/>
    <w:rsid w:val="00795A92"/>
    <w:rsid w:val="007A523B"/>
    <w:rsid w:val="007D1D0A"/>
    <w:rsid w:val="007D59A0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5917"/>
    <w:rsid w:val="00857D2A"/>
    <w:rsid w:val="00863B0D"/>
    <w:rsid w:val="00866467"/>
    <w:rsid w:val="00882D03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232CA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9F5C73"/>
    <w:rsid w:val="00A06A12"/>
    <w:rsid w:val="00A10B0F"/>
    <w:rsid w:val="00A2535A"/>
    <w:rsid w:val="00A5495D"/>
    <w:rsid w:val="00A54CA2"/>
    <w:rsid w:val="00A60E00"/>
    <w:rsid w:val="00A60E38"/>
    <w:rsid w:val="00A973FC"/>
    <w:rsid w:val="00AB07EE"/>
    <w:rsid w:val="00AB2BC9"/>
    <w:rsid w:val="00AC23D4"/>
    <w:rsid w:val="00AC5F2E"/>
    <w:rsid w:val="00AD5909"/>
    <w:rsid w:val="00AD6291"/>
    <w:rsid w:val="00AE20BB"/>
    <w:rsid w:val="00AF1256"/>
    <w:rsid w:val="00B158D0"/>
    <w:rsid w:val="00B32311"/>
    <w:rsid w:val="00B4669D"/>
    <w:rsid w:val="00B704CF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17F2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038D1"/>
    <w:rsid w:val="00E2275B"/>
    <w:rsid w:val="00E2646D"/>
    <w:rsid w:val="00E322D9"/>
    <w:rsid w:val="00E4118E"/>
    <w:rsid w:val="00E43597"/>
    <w:rsid w:val="00E515BB"/>
    <w:rsid w:val="00E5312C"/>
    <w:rsid w:val="00E71E11"/>
    <w:rsid w:val="00E73FAE"/>
    <w:rsid w:val="00E81AD7"/>
    <w:rsid w:val="00E85A97"/>
    <w:rsid w:val="00E87C9B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20850&amp;date=25.04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98&amp;date=25.04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D04F-B615-4224-8F57-4F07B382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5764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КОМИТЕТ ПО АРХИТЕКТУРЕ И ГРАДОСТРОИТЕЛЬСТВУ МОСКОВСКОЙ ОБЛАСТИ</vt:lpstr>
      <vt:lpstr>г. Красногорск</vt:lpstr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Гаврилова</cp:lastModifiedBy>
  <cp:revision>21</cp:revision>
  <cp:lastPrinted>2014-10-30T08:12:00Z</cp:lastPrinted>
  <dcterms:created xsi:type="dcterms:W3CDTF">2026-02-11T11:59:00Z</dcterms:created>
  <dcterms:modified xsi:type="dcterms:W3CDTF">2026-04-23T13:51:00Z</dcterms:modified>
</cp:coreProperties>
</file>