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010" w:rsidRDefault="00DE4A51">
      <w:pPr>
        <w:spacing w:before="63"/>
        <w:ind w:right="719"/>
        <w:jc w:val="right"/>
        <w:rPr>
          <w:sz w:val="28"/>
        </w:rPr>
      </w:pPr>
      <w:r>
        <w:rPr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BE4C17" w:rsidRPr="00BE4C17">
        <w:rPr>
          <w:szCs w:val="28"/>
        </w:rPr>
        <w:t>50:20:0030116:632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 xml:space="preserve">градостроительного зонирования городского округа и по подготовке проекта правил землепользования и застройки в 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="00B75B54">
        <w:t>постановления</w:t>
      </w:r>
      <w:r w:rsidRPr="00FF15BF">
        <w:t>м</w:t>
      </w:r>
      <w:r w:rsidR="00B75B54">
        <w:t>и</w:t>
      </w:r>
      <w:r w:rsidRPr="00FF15BF">
        <w:t xml:space="preserve">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 xml:space="preserve">№ 3471 (в редакции </w:t>
      </w:r>
      <w:r w:rsidR="000E1A94" w:rsidRPr="00FF15BF">
        <w:t xml:space="preserve">от </w:t>
      </w:r>
      <w:r w:rsidR="00BE4C17" w:rsidRPr="00BE4C17">
        <w:t>30.12.2025 г. № 8586, №</w:t>
      </w:r>
      <w:r w:rsidR="00BE4C17">
        <w:t xml:space="preserve"> </w:t>
      </w:r>
      <w:r w:rsidR="00BE4C17" w:rsidRPr="00BE4C17">
        <w:t>8587, №</w:t>
      </w:r>
      <w:r w:rsidR="00BE4C17">
        <w:t xml:space="preserve"> </w:t>
      </w:r>
      <w:r w:rsidR="00BE4C17" w:rsidRPr="00BE4C17">
        <w:t>8588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 xml:space="preserve">спользования земельного 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D91038" w:rsidRPr="00FF15BF">
        <w:t>ООО «</w:t>
      </w:r>
      <w:r w:rsidR="00BE4C17">
        <w:t>Вектор Проект</w:t>
      </w:r>
      <w:r w:rsidR="00D91038" w:rsidRPr="00FF15BF">
        <w:t>»</w:t>
      </w:r>
      <w:r w:rsidRPr="00FF15B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>номер 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</w:t>
      </w:r>
      <w:r w:rsidR="00B75B54" w:rsidRPr="00FF15BF">
        <w:t>–</w:t>
      </w:r>
      <w:r w:rsidR="00C14195">
        <w:t xml:space="preserve"> </w:t>
      </w:r>
      <w:r w:rsidR="008E2ECF" w:rsidRPr="00FF15BF">
        <w:t xml:space="preserve">Ассоциация </w:t>
      </w:r>
      <w:r w:rsidR="00BE4C17">
        <w:t>в области архитектурно-</w:t>
      </w:r>
      <w:r w:rsidR="00BE4C17">
        <w:lastRenderedPageBreak/>
        <w:t>строительного проектирования «Саморегулируемая организация</w:t>
      </w:r>
      <w:r w:rsidR="008E2ECF" w:rsidRPr="00FF15BF">
        <w:t xml:space="preserve"> «</w:t>
      </w:r>
      <w:r w:rsidR="00BE4C17">
        <w:t>СОВЕТ ПРОЕКТИРОВЩИКОВ</w:t>
      </w:r>
      <w:r w:rsidR="008E2ECF" w:rsidRPr="00FF15BF">
        <w:t xml:space="preserve">» </w:t>
      </w:r>
      <w:r w:rsidR="0085230D">
        <w:t>(</w:t>
      </w:r>
      <w:r w:rsidR="00BE4C17">
        <w:t>СРО-П-011-16072009</w:t>
      </w:r>
      <w:r w:rsidR="0085230D">
        <w:t xml:space="preserve"> </w:t>
      </w:r>
      <w:r w:rsidRPr="00FF15BF">
        <w:t xml:space="preserve">от </w:t>
      </w:r>
      <w:r w:rsidR="00BE4C17">
        <w:t>31.01.2018</w:t>
      </w:r>
      <w:r w:rsidR="0085230D">
        <w:t xml:space="preserve"> </w:t>
      </w:r>
      <w:r w:rsidRPr="00FF15BF">
        <w:t xml:space="preserve">№ </w:t>
      </w:r>
      <w:r w:rsidR="00BE4C17">
        <w:t>П-011-005074048655-1124</w:t>
      </w:r>
      <w:r w:rsidRPr="00FF15BF">
        <w:t xml:space="preserve">), заявление </w:t>
      </w:r>
      <w:r w:rsidR="0014264F" w:rsidRPr="0014264F">
        <w:t>ОБЩЕСТВО С</w:t>
      </w:r>
      <w:r w:rsidR="0014264F">
        <w:t xml:space="preserve"> ОГРАНИЧЕННОЙ ОТВЕТСТВЕННОСТЬЮ «ЛИСТ СПОРТ»</w:t>
      </w:r>
      <w:r w:rsidRPr="00FF15BF">
        <w:t>:</w:t>
      </w:r>
    </w:p>
    <w:p w:rsidR="00102010" w:rsidRPr="00C14195" w:rsidRDefault="00DE4A51" w:rsidP="006213CB">
      <w:pPr>
        <w:pStyle w:val="a5"/>
        <w:numPr>
          <w:ilvl w:val="0"/>
          <w:numId w:val="1"/>
        </w:numPr>
        <w:spacing w:line="259" w:lineRule="auto"/>
        <w:ind w:left="142" w:right="132" w:firstLine="704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6213CB" w:rsidRPr="006213CB">
        <w:rPr>
          <w:sz w:val="27"/>
          <w:szCs w:val="27"/>
        </w:rPr>
        <w:t>Общественное питание</w:t>
      </w:r>
      <w:r w:rsidRPr="00C14195">
        <w:rPr>
          <w:sz w:val="27"/>
          <w:szCs w:val="27"/>
        </w:rPr>
        <w:t xml:space="preserve">» </w:t>
      </w:r>
      <w:r w:rsidR="009E6154" w:rsidRPr="00C14195">
        <w:rPr>
          <w:sz w:val="27"/>
          <w:szCs w:val="27"/>
        </w:rPr>
        <w:t xml:space="preserve">для </w:t>
      </w:r>
      <w:r w:rsidRPr="00C14195">
        <w:rPr>
          <w:sz w:val="27"/>
          <w:szCs w:val="27"/>
        </w:rPr>
        <w:t xml:space="preserve">земельного участка с кадастровым номером </w:t>
      </w:r>
      <w:r w:rsidR="006213CB" w:rsidRPr="006213CB">
        <w:rPr>
          <w:sz w:val="27"/>
          <w:szCs w:val="27"/>
        </w:rPr>
        <w:t>50:20:0030116:632</w:t>
      </w:r>
      <w:r w:rsidRPr="00C14195">
        <w:rPr>
          <w:sz w:val="27"/>
          <w:szCs w:val="27"/>
        </w:rPr>
        <w:t xml:space="preserve">, площадью </w:t>
      </w:r>
      <w:r w:rsidR="006213CB">
        <w:rPr>
          <w:sz w:val="27"/>
          <w:szCs w:val="27"/>
        </w:rPr>
        <w:t>7213</w:t>
      </w:r>
      <w:r w:rsidR="00724E1E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кв. м, ра</w:t>
      </w:r>
      <w:r w:rsidR="00D423D9" w:rsidRPr="00C14195">
        <w:rPr>
          <w:sz w:val="27"/>
          <w:szCs w:val="27"/>
        </w:rPr>
        <w:t>сположенного по адресу</w:t>
      </w:r>
      <w:r w:rsidRPr="00C14195">
        <w:rPr>
          <w:sz w:val="27"/>
          <w:szCs w:val="27"/>
        </w:rPr>
        <w:t xml:space="preserve">: </w:t>
      </w:r>
      <w:r w:rsidR="0085230D" w:rsidRPr="0085230D">
        <w:rPr>
          <w:sz w:val="27"/>
          <w:szCs w:val="27"/>
        </w:rPr>
        <w:t>Московская область,</w:t>
      </w:r>
      <w:r w:rsidR="006213CB">
        <w:rPr>
          <w:sz w:val="27"/>
          <w:szCs w:val="27"/>
        </w:rPr>
        <w:t xml:space="preserve"> </w:t>
      </w:r>
      <w:proofErr w:type="spellStart"/>
      <w:r w:rsidR="006213CB">
        <w:rPr>
          <w:sz w:val="27"/>
          <w:szCs w:val="27"/>
        </w:rPr>
        <w:t>г.о</w:t>
      </w:r>
      <w:proofErr w:type="spellEnd"/>
      <w:r w:rsidR="006213CB">
        <w:rPr>
          <w:sz w:val="27"/>
          <w:szCs w:val="27"/>
        </w:rPr>
        <w:t>.</w:t>
      </w:r>
      <w:r w:rsidR="0085230D" w:rsidRPr="0085230D">
        <w:rPr>
          <w:sz w:val="27"/>
          <w:szCs w:val="27"/>
        </w:rPr>
        <w:t xml:space="preserve"> </w:t>
      </w:r>
      <w:proofErr w:type="gramStart"/>
      <w:r w:rsidR="0085230D" w:rsidRPr="0085230D">
        <w:rPr>
          <w:sz w:val="27"/>
          <w:szCs w:val="27"/>
        </w:rPr>
        <w:t>Одинцовский</w:t>
      </w:r>
      <w:r w:rsidR="006213CB">
        <w:rPr>
          <w:sz w:val="27"/>
          <w:szCs w:val="27"/>
        </w:rPr>
        <w:t xml:space="preserve"> </w:t>
      </w:r>
      <w:r w:rsidR="0085230D" w:rsidRPr="0085230D">
        <w:rPr>
          <w:sz w:val="27"/>
          <w:szCs w:val="27"/>
        </w:rPr>
        <w:t>,</w:t>
      </w:r>
      <w:proofErr w:type="gramEnd"/>
      <w:r w:rsidR="0085230D" w:rsidRPr="0085230D">
        <w:rPr>
          <w:sz w:val="27"/>
          <w:szCs w:val="27"/>
        </w:rPr>
        <w:t xml:space="preserve"> </w:t>
      </w:r>
      <w:r w:rsidR="006213CB">
        <w:rPr>
          <w:sz w:val="27"/>
          <w:szCs w:val="27"/>
        </w:rPr>
        <w:t xml:space="preserve">г. Одинцово, ул. </w:t>
      </w:r>
      <w:proofErr w:type="spellStart"/>
      <w:r w:rsidR="006213CB">
        <w:rPr>
          <w:sz w:val="27"/>
          <w:szCs w:val="27"/>
        </w:rPr>
        <w:t>Неделина</w:t>
      </w:r>
      <w:proofErr w:type="spellEnd"/>
      <w:r w:rsidRPr="00C14195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proofErr w:type="gramStart"/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="005A4DBD">
        <w:rPr>
          <w:sz w:val="27"/>
          <w:szCs w:val="27"/>
        </w:rPr>
        <w:t xml:space="preserve">  </w:t>
      </w:r>
      <w:proofErr w:type="gramEnd"/>
      <w:r w:rsidR="005A4DBD">
        <w:rPr>
          <w:sz w:val="27"/>
          <w:szCs w:val="27"/>
        </w:rPr>
        <w:t xml:space="preserve">       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Контроль за выполнением пунктов 1 и 3 настоящего распоряжения оставляю </w:t>
      </w:r>
      <w:r w:rsidR="005A4DBD">
        <w:rPr>
          <w:sz w:val="27"/>
          <w:szCs w:val="27"/>
        </w:rPr>
        <w:t xml:space="preserve">           </w:t>
      </w:r>
      <w:bookmarkStart w:id="0" w:name="_GoBack"/>
      <w:bookmarkEnd w:id="0"/>
      <w:r w:rsidRPr="00FF15BF">
        <w:rPr>
          <w:sz w:val="27"/>
          <w:szCs w:val="27"/>
        </w:rPr>
        <w:t>за собой.</w:t>
      </w:r>
    </w:p>
    <w:p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 w:rsidP="0085230D">
      <w:pPr>
        <w:pStyle w:val="a3"/>
        <w:tabs>
          <w:tab w:val="left" w:pos="8372"/>
        </w:tabs>
        <w:spacing w:before="6"/>
        <w:ind w:left="138" w:right="155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85230D">
        <w:t xml:space="preserve">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5230D">
      <w:type w:val="continuous"/>
      <w:pgSz w:w="11920" w:h="16850"/>
      <w:pgMar w:top="980" w:right="425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010"/>
    <w:rsid w:val="000325DC"/>
    <w:rsid w:val="000E1A94"/>
    <w:rsid w:val="00102010"/>
    <w:rsid w:val="0014264F"/>
    <w:rsid w:val="00311545"/>
    <w:rsid w:val="0033136C"/>
    <w:rsid w:val="003C3852"/>
    <w:rsid w:val="00477785"/>
    <w:rsid w:val="004B2C16"/>
    <w:rsid w:val="004D4871"/>
    <w:rsid w:val="004F75AD"/>
    <w:rsid w:val="00596259"/>
    <w:rsid w:val="005A4DBD"/>
    <w:rsid w:val="005B3B0C"/>
    <w:rsid w:val="0061084A"/>
    <w:rsid w:val="006212C0"/>
    <w:rsid w:val="006213CB"/>
    <w:rsid w:val="00625002"/>
    <w:rsid w:val="00637D96"/>
    <w:rsid w:val="006C2372"/>
    <w:rsid w:val="00724E1E"/>
    <w:rsid w:val="0074700C"/>
    <w:rsid w:val="0085230D"/>
    <w:rsid w:val="0086778D"/>
    <w:rsid w:val="00883D74"/>
    <w:rsid w:val="008D5625"/>
    <w:rsid w:val="008E2ECF"/>
    <w:rsid w:val="00947534"/>
    <w:rsid w:val="009C60FA"/>
    <w:rsid w:val="009E20A1"/>
    <w:rsid w:val="009E6154"/>
    <w:rsid w:val="009F4390"/>
    <w:rsid w:val="00AA1D30"/>
    <w:rsid w:val="00AC3A1E"/>
    <w:rsid w:val="00AD7E74"/>
    <w:rsid w:val="00B316AF"/>
    <w:rsid w:val="00B32F1A"/>
    <w:rsid w:val="00B33F9B"/>
    <w:rsid w:val="00B544F0"/>
    <w:rsid w:val="00B75B54"/>
    <w:rsid w:val="00BE4C17"/>
    <w:rsid w:val="00C14195"/>
    <w:rsid w:val="00C82A86"/>
    <w:rsid w:val="00D423D9"/>
    <w:rsid w:val="00D746CC"/>
    <w:rsid w:val="00D74CE8"/>
    <w:rsid w:val="00D91038"/>
    <w:rsid w:val="00DD1086"/>
    <w:rsid w:val="00DE4A51"/>
    <w:rsid w:val="00E21E1E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2E3AA-AED6-4B90-B386-57E4EAD8F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Наталья В. Бузынова</cp:lastModifiedBy>
  <cp:revision>3</cp:revision>
  <dcterms:created xsi:type="dcterms:W3CDTF">2026-01-20T08:12:00Z</dcterms:created>
  <dcterms:modified xsi:type="dcterms:W3CDTF">2026-01-20T08:19:00Z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