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8" w:rsidRDefault="00D858D8" w:rsidP="001923B5">
      <w:pPr>
        <w:pStyle w:val="1"/>
        <w:ind w:left="0" w:right="-2089" w:firstLine="142"/>
        <w:jc w:val="center"/>
      </w:pPr>
      <w:bookmarkStart w:id="0" w:name="_bookmark16"/>
      <w:bookmarkStart w:id="1" w:name="_GoBack"/>
      <w:bookmarkEnd w:id="0"/>
      <w:bookmarkEnd w:id="1"/>
      <w:r>
        <w:t>ОПРОСН</w:t>
      </w:r>
      <w:r w:rsidR="001923B5">
        <w:t>ЫЙ</w:t>
      </w:r>
      <w:r>
        <w:t xml:space="preserve"> ЛИСТ</w:t>
      </w:r>
    </w:p>
    <w:p w:rsidR="00D858D8" w:rsidRDefault="00D858D8" w:rsidP="00D858D8">
      <w:pPr>
        <w:pStyle w:val="a3"/>
        <w:ind w:left="0"/>
        <w:jc w:val="center"/>
        <w:sectPr w:rsidR="00D858D8" w:rsidSect="001923B5">
          <w:pgSz w:w="11910" w:h="16840"/>
          <w:pgMar w:top="1040" w:right="680" w:bottom="480" w:left="1276" w:header="0" w:footer="214" w:gutter="0"/>
          <w:cols w:num="2" w:space="720" w:equalWidth="0">
            <w:col w:w="8826" w:space="2"/>
            <w:col w:w="882"/>
          </w:cols>
        </w:sectPr>
      </w:pPr>
      <w:r>
        <w:br w:type="column"/>
      </w:r>
    </w:p>
    <w:p w:rsidR="00D858D8" w:rsidRDefault="00D858D8" w:rsidP="00D858D8">
      <w:pPr>
        <w:pStyle w:val="1"/>
        <w:ind w:left="0"/>
        <w:jc w:val="center"/>
      </w:pPr>
      <w:r>
        <w:lastRenderedPageBreak/>
        <w:t>при проведении публичных консультаций по проекту</w:t>
      </w:r>
    </w:p>
    <w:p w:rsidR="00D858D8" w:rsidRDefault="009C5407" w:rsidP="001923B5">
      <w:pPr>
        <w:pStyle w:val="1"/>
        <w:jc w:val="center"/>
        <w:rPr>
          <w:b w:val="0"/>
        </w:rPr>
      </w:pPr>
      <w:r w:rsidRPr="009C5407">
        <w:rPr>
          <w:b w:val="0"/>
        </w:rPr>
        <w:t>решения Совета депутатов Одинцовского городского округа «</w:t>
      </w:r>
      <w:r w:rsidR="001923B5" w:rsidRPr="001923B5">
        <w:rPr>
          <w:b w:val="0"/>
        </w:rPr>
        <w:t>О внесении изменений в Правила благоустройства территории</w:t>
      </w:r>
      <w:r w:rsidR="001923B5">
        <w:rPr>
          <w:b w:val="0"/>
        </w:rPr>
        <w:t xml:space="preserve"> </w:t>
      </w:r>
      <w:r w:rsidR="001923B5" w:rsidRPr="001923B5">
        <w:rPr>
          <w:b w:val="0"/>
        </w:rPr>
        <w:t>Одинцовского городского округа Московской области, утвержденные решением Совета депутатов Одинцовского городского округа Московской области 03.04.2020 № 8/15, от 25.11.2020 № 6/20</w:t>
      </w:r>
      <w:r w:rsidRPr="009C5407">
        <w:rPr>
          <w:b w:val="0"/>
        </w:rPr>
        <w:t>»</w:t>
      </w:r>
    </w:p>
    <w:p w:rsidR="00D858D8" w:rsidRDefault="00D858D8" w:rsidP="00D858D8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hyperlink r:id="rId5" w:history="1">
        <w:r w:rsidR="009C5407" w:rsidRPr="001B2746">
          <w:rPr>
            <w:rStyle w:val="a5"/>
          </w:rPr>
          <w:t>5996145@</w:t>
        </w:r>
        <w:proofErr w:type="spellStart"/>
        <w:r w:rsidR="009C5407" w:rsidRPr="001B2746">
          <w:rPr>
            <w:rStyle w:val="a5"/>
            <w:lang w:val="en-US"/>
          </w:rPr>
          <w:t>odin</w:t>
        </w:r>
        <w:proofErr w:type="spellEnd"/>
        <w:r w:rsidR="009C5407" w:rsidRPr="001B2746">
          <w:rPr>
            <w:rStyle w:val="a5"/>
          </w:rPr>
          <w:t>.</w:t>
        </w:r>
        <w:proofErr w:type="spellStart"/>
        <w:r w:rsidR="009C5407" w:rsidRPr="001B2746">
          <w:rPr>
            <w:rStyle w:val="a5"/>
            <w:lang w:val="en-US"/>
          </w:rPr>
          <w:t>ru</w:t>
        </w:r>
        <w:proofErr w:type="spellEnd"/>
      </w:hyperlink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="009C5407">
        <w:t xml:space="preserve"> </w:t>
      </w:r>
      <w:r w:rsidR="001923B5">
        <w:t>03</w:t>
      </w:r>
      <w:r w:rsidR="009C5407">
        <w:t>.0</w:t>
      </w:r>
      <w:r w:rsidR="001923B5">
        <w:t>9</w:t>
      </w:r>
      <w:r w:rsidR="009C5407">
        <w:t>.2021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858D8" w:rsidTr="00F56241">
        <w:trPr>
          <w:trHeight w:val="846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телефона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почты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F56241">
        <w:trPr>
          <w:trHeight w:val="1490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</w:t>
            </w:r>
          </w:p>
          <w:p w:rsidR="00D858D8" w:rsidRDefault="00D858D8" w:rsidP="00F56241">
            <w:pPr>
              <w:pStyle w:val="TableParagraph"/>
              <w:spacing w:before="2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proofErr w:type="spellStart"/>
            <w:r>
              <w:rPr>
                <w:sz w:val="28"/>
              </w:rPr>
              <w:t>Насколько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соотносится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проблемой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D858D8" w:rsidTr="00F56241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</w:t>
            </w:r>
          </w:p>
          <w:p w:rsidR="00D858D8" w:rsidRPr="00D858D8" w:rsidRDefault="00D858D8" w:rsidP="00F56241">
            <w:pPr>
              <w:pStyle w:val="TableParagraph"/>
              <w:ind w:left="62" w:right="4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858D8">
              <w:rPr>
                <w:sz w:val="28"/>
                <w:lang w:val="ru-RU"/>
              </w:rPr>
              <w:t>затратны</w:t>
            </w:r>
            <w:proofErr w:type="spellEnd"/>
            <w:r w:rsidRPr="00D858D8">
              <w:rPr>
                <w:sz w:val="28"/>
                <w:lang w:val="ru-RU"/>
              </w:rPr>
              <w:t xml:space="preserve"> и (или) более результативны?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3. Какие эффекты (полезные/негативные) для городского округа, населения городского округа, субъектов предпринимательской и инвестиционной</w:t>
            </w:r>
          </w:p>
          <w:p w:rsidR="00D858D8" w:rsidRPr="00D858D8" w:rsidRDefault="00D858D8" w:rsidP="00F56241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 городского округа и т.п. ожидаются в случае принятия проекта муниципального нормативного правового акта?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1492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</w:t>
            </w:r>
          </w:p>
          <w:p w:rsidR="00D858D8" w:rsidRPr="00D858D8" w:rsidRDefault="00D858D8" w:rsidP="00F56241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F56241">
        <w:trPr>
          <w:trHeight w:val="527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814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5. Приведет ли предлагаемое регулирование к росту/снижению издержек</w:t>
            </w:r>
          </w:p>
          <w:p w:rsidR="00D858D8" w:rsidRPr="00D858D8" w:rsidRDefault="00D858D8" w:rsidP="00F56241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761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 w:right="1087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6. Существуют ли в предлагаемом проекте правового регулирования положения, которые необоснованно затрудняют ведение</w:t>
            </w:r>
          </w:p>
          <w:p w:rsidR="00D858D8" w:rsidRDefault="00D858D8" w:rsidP="00F56241">
            <w:pPr>
              <w:pStyle w:val="TableParagraph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указанному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дополнительно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определив</w:t>
            </w:r>
            <w:proofErr w:type="spellEnd"/>
            <w:r>
              <w:rPr>
                <w:sz w:val="28"/>
              </w:rPr>
              <w:t>: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2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D858D8">
              <w:rPr>
                <w:spacing w:val="-25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D858D8">
              <w:rPr>
                <w:spacing w:val="-10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субъектов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D858D8">
              <w:rPr>
                <w:spacing w:val="-27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D858D8">
              <w:rPr>
                <w:spacing w:val="-1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инвестиционной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1332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07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D858D8">
              <w:rPr>
                <w:spacing w:val="-29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отсутствием</w:t>
            </w:r>
          </w:p>
          <w:p w:rsidR="00D858D8" w:rsidRPr="00D858D8" w:rsidRDefault="00D858D8" w:rsidP="00F56241">
            <w:pPr>
              <w:pStyle w:val="TableParagraph"/>
              <w:ind w:left="62" w:right="12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практикам;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D858D8">
              <w:rPr>
                <w:spacing w:val="-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иное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7. Требуется ли переходный период для вступления в силу проекта</w:t>
            </w:r>
          </w:p>
          <w:p w:rsidR="00D858D8" w:rsidRPr="00D858D8" w:rsidRDefault="00D858D8" w:rsidP="00F56241">
            <w:pPr>
              <w:pStyle w:val="TableParagraph"/>
              <w:ind w:left="62" w:right="90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53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9. Содержит ли проект муниципального нормативного правового акта нормы, на практике не выполнимые?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9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10. Существуют ли альтернативные способы достижения целей, заявленных в рамках проекта муниципального нормативного правового акта?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укажите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аргументируйте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позицию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8"/>
    <w:rsid w:val="001923B5"/>
    <w:rsid w:val="00413ABA"/>
    <w:rsid w:val="00770DE5"/>
    <w:rsid w:val="009C5407"/>
    <w:rsid w:val="00D858D8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2449"/>
  <w15:docId w15:val="{22F91DD6-92D0-481F-AAB3-577D0BE0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4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407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96145@od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Ветрова Валентина Ветрова</cp:lastModifiedBy>
  <cp:revision>2</cp:revision>
  <cp:lastPrinted>2021-08-11T12:27:00Z</cp:lastPrinted>
  <dcterms:created xsi:type="dcterms:W3CDTF">2021-08-24T13:50:00Z</dcterms:created>
  <dcterms:modified xsi:type="dcterms:W3CDTF">2021-08-24T13:50:00Z</dcterms:modified>
</cp:coreProperties>
</file>