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32" w:rsidRDefault="00590D3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90D32" w:rsidRDefault="00590D32">
      <w:pPr>
        <w:pStyle w:val="ConsPlusNormal"/>
        <w:jc w:val="both"/>
        <w:outlineLvl w:val="0"/>
      </w:pPr>
    </w:p>
    <w:p w:rsidR="00590D32" w:rsidRDefault="00590D32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590D32" w:rsidRDefault="00590D32">
      <w:pPr>
        <w:pStyle w:val="ConsPlusTitle"/>
        <w:jc w:val="center"/>
      </w:pPr>
      <w:r>
        <w:t>МОСКОВСКОЙ ОБЛАСТИ</w:t>
      </w:r>
    </w:p>
    <w:p w:rsidR="00590D32" w:rsidRDefault="00590D32">
      <w:pPr>
        <w:pStyle w:val="ConsPlusTitle"/>
        <w:jc w:val="both"/>
      </w:pPr>
    </w:p>
    <w:p w:rsidR="00590D32" w:rsidRDefault="00590D32">
      <w:pPr>
        <w:pStyle w:val="ConsPlusTitle"/>
        <w:jc w:val="center"/>
      </w:pPr>
      <w:r>
        <w:t>ПОСТАНОВЛЕНИЕ</w:t>
      </w:r>
    </w:p>
    <w:p w:rsidR="00590D32" w:rsidRDefault="00590D32">
      <w:pPr>
        <w:pStyle w:val="ConsPlusTitle"/>
        <w:jc w:val="center"/>
      </w:pPr>
      <w:r>
        <w:t>от 21 августа 2019 г. N 329</w:t>
      </w:r>
    </w:p>
    <w:p w:rsidR="00590D32" w:rsidRDefault="00590D32">
      <w:pPr>
        <w:pStyle w:val="ConsPlusTitle"/>
        <w:jc w:val="both"/>
      </w:pPr>
    </w:p>
    <w:p w:rsidR="00590D32" w:rsidRDefault="00590D32">
      <w:pPr>
        <w:pStyle w:val="ConsPlusTitle"/>
        <w:jc w:val="center"/>
      </w:pPr>
      <w:r>
        <w:t>ОБ УТВЕРЖДЕНИИ ПОЛОЖЕНИЯ О СИСТЕМЕ МОТИВАЦИИ</w:t>
      </w:r>
    </w:p>
    <w:p w:rsidR="00590D32" w:rsidRDefault="00590D32">
      <w:pPr>
        <w:pStyle w:val="ConsPlusTitle"/>
        <w:jc w:val="center"/>
      </w:pPr>
      <w:r>
        <w:t xml:space="preserve">ПРОФЕССИОНАЛЬНОЙ СЛУЖЕБНОЙ ДЕЯТЕЛЬНОСТИ </w:t>
      </w:r>
      <w:proofErr w:type="gramStart"/>
      <w:r>
        <w:t>МУНИЦИПАЛЬНЫХ</w:t>
      </w:r>
      <w:proofErr w:type="gramEnd"/>
    </w:p>
    <w:p w:rsidR="00590D32" w:rsidRDefault="00590D32">
      <w:pPr>
        <w:pStyle w:val="ConsPlusTitle"/>
        <w:jc w:val="center"/>
      </w:pPr>
      <w:r>
        <w:t>СЛУЖАЩИХ В АДМИНИСТРАЦИИ ОДИНЦОВСКОГО ГОРОДСКОГО ОКРУГА</w:t>
      </w:r>
    </w:p>
    <w:p w:rsidR="00590D32" w:rsidRDefault="00590D32">
      <w:pPr>
        <w:pStyle w:val="ConsPlusTitle"/>
        <w:jc w:val="center"/>
      </w:pPr>
      <w:r>
        <w:t>МОСКОВСКОЙ ОБЛАСТИ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ind w:firstLine="540"/>
        <w:jc w:val="both"/>
      </w:pPr>
      <w:r>
        <w:t xml:space="preserve">В соответствии с Федеральными законами от 02.03.2007 </w:t>
      </w:r>
      <w:hyperlink r:id="rId6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25.12.2008 </w:t>
      </w:r>
      <w:hyperlink r:id="rId7">
        <w:r>
          <w:rPr>
            <w:color w:val="0000FF"/>
          </w:rPr>
          <w:t>N 273-ФЗ</w:t>
        </w:r>
      </w:hyperlink>
      <w:r>
        <w:t xml:space="preserve"> "О противодействии коррупции", от 06.10.2003 </w:t>
      </w:r>
      <w:hyperlink r:id="rId8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 постановляю: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Положение</w:t>
        </w:r>
      </w:hyperlink>
      <w:r>
        <w:t xml:space="preserve"> о системе мотивации профессиональной служебной деятельности муниципальных служащих в администрации Одинцовского городского округа Московской области (прилагается).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 xml:space="preserve">2.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округа.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 xml:space="preserve">3.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от 18.04.2018 N 1754 "Об утверждении Положения о системе мотивации профессиональной служебной деятельности муниципальных служащих в администрации Одинцовского муниципального района Московской области".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jc w:val="right"/>
      </w:pPr>
      <w:r>
        <w:t>Глава Одинцовского</w:t>
      </w:r>
    </w:p>
    <w:p w:rsidR="00590D32" w:rsidRDefault="00590D32">
      <w:pPr>
        <w:pStyle w:val="ConsPlusNormal"/>
        <w:jc w:val="right"/>
      </w:pPr>
      <w:r>
        <w:t>городского округа</w:t>
      </w:r>
    </w:p>
    <w:p w:rsidR="00590D32" w:rsidRDefault="00590D32">
      <w:pPr>
        <w:pStyle w:val="ConsPlusNormal"/>
        <w:jc w:val="right"/>
      </w:pPr>
      <w:r>
        <w:t>А.Р. Иванов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jc w:val="right"/>
        <w:outlineLvl w:val="0"/>
      </w:pPr>
      <w:r>
        <w:t>Утверждено</w:t>
      </w:r>
    </w:p>
    <w:p w:rsidR="00590D32" w:rsidRDefault="00590D32">
      <w:pPr>
        <w:pStyle w:val="ConsPlusNormal"/>
        <w:jc w:val="right"/>
      </w:pPr>
      <w:r>
        <w:t>постановлением администрации</w:t>
      </w:r>
    </w:p>
    <w:p w:rsidR="00590D32" w:rsidRDefault="00590D32">
      <w:pPr>
        <w:pStyle w:val="ConsPlusNormal"/>
        <w:jc w:val="right"/>
      </w:pPr>
      <w:r>
        <w:t>Одинцовского городского округа</w:t>
      </w:r>
    </w:p>
    <w:p w:rsidR="00590D32" w:rsidRDefault="00590D32">
      <w:pPr>
        <w:pStyle w:val="ConsPlusNormal"/>
        <w:jc w:val="right"/>
      </w:pPr>
      <w:r>
        <w:t>Московской области</w:t>
      </w:r>
    </w:p>
    <w:p w:rsidR="00590D32" w:rsidRDefault="00590D32">
      <w:pPr>
        <w:pStyle w:val="ConsPlusNormal"/>
        <w:jc w:val="right"/>
      </w:pPr>
      <w:r>
        <w:t>от 21 августа 2019 г. N 329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Title"/>
        <w:jc w:val="center"/>
      </w:pPr>
      <w:bookmarkStart w:id="0" w:name="P33"/>
      <w:bookmarkEnd w:id="0"/>
      <w:r>
        <w:t>ПОЛОЖЕНИЕ</w:t>
      </w:r>
    </w:p>
    <w:p w:rsidR="00590D32" w:rsidRDefault="00590D32">
      <w:pPr>
        <w:pStyle w:val="ConsPlusTitle"/>
        <w:jc w:val="center"/>
      </w:pPr>
      <w:r>
        <w:t>О СИСТЕМЕ МОТИВАЦИИ ПРОФЕССИОНАЛЬНОЙ СЛУЖЕБНОЙ ДЕЯТЕЛЬНОСТИ</w:t>
      </w:r>
    </w:p>
    <w:p w:rsidR="00590D32" w:rsidRDefault="00590D32">
      <w:pPr>
        <w:pStyle w:val="ConsPlusTitle"/>
        <w:jc w:val="center"/>
      </w:pPr>
      <w:r>
        <w:t xml:space="preserve">МУНИЦИПАЛЬНЫХ СЛУЖАЩИХ В АДМИНИСТРАЦИИ </w:t>
      </w:r>
      <w:proofErr w:type="gramStart"/>
      <w:r>
        <w:t>ОДИНЦОВСКОГО</w:t>
      </w:r>
      <w:proofErr w:type="gramEnd"/>
    </w:p>
    <w:p w:rsidR="00590D32" w:rsidRDefault="00590D32">
      <w:pPr>
        <w:pStyle w:val="ConsPlusTitle"/>
        <w:jc w:val="center"/>
      </w:pPr>
      <w:r>
        <w:t>ГОРОДСКОГО ОКРУГА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Title"/>
        <w:jc w:val="center"/>
        <w:outlineLvl w:val="1"/>
      </w:pPr>
      <w:r>
        <w:t>1. Общие положения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разработано в соответствии с Федеральными законами от 02.03.2007 </w:t>
      </w:r>
      <w:hyperlink r:id="rId10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25.12.2008 </w:t>
      </w:r>
      <w:hyperlink r:id="rId11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12">
        <w:r>
          <w:rPr>
            <w:color w:val="0000FF"/>
          </w:rPr>
          <w:t>Законом</w:t>
        </w:r>
      </w:hyperlink>
      <w:r>
        <w:t xml:space="preserve"> Московской области от 24.07.2007 N 137/2007-ОЗ "О муниципальной службе в Московской области", в целях установления системы мотивации профессиональной служебной деятельности муниципальных служащих администрации Одинцовского городского округа.</w:t>
      </w:r>
      <w:proofErr w:type="gramEnd"/>
    </w:p>
    <w:p w:rsidR="00590D32" w:rsidRDefault="00590D32">
      <w:pPr>
        <w:pStyle w:val="ConsPlusNormal"/>
        <w:spacing w:before="200"/>
        <w:ind w:firstLine="540"/>
        <w:jc w:val="both"/>
      </w:pPr>
      <w:r>
        <w:t xml:space="preserve">1.2. Система мотивации включает следующие формы стимулирования муниципальных </w:t>
      </w:r>
      <w:r>
        <w:lastRenderedPageBreak/>
        <w:t>служащих администрации Одинцовского городского округа (далее - муниципальные служащие):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1) материальное стимулирование;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2) морально-материальное стимулирование;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3) социальное стимулирование.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1.3. Целями установления системы мотивации являются: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1) повышение мотивации эффективного исполнения муниципальными служащими своих должностных обязанностей;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2) укрепление стабильности профессионального состава кадров администрации Одинцовского городского округа (далее - Администрация);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 xml:space="preserve">3) привлечение </w:t>
      </w:r>
      <w:proofErr w:type="gramStart"/>
      <w:r>
        <w:t>квалифицированных</w:t>
      </w:r>
      <w:proofErr w:type="gramEnd"/>
      <w:r>
        <w:t xml:space="preserve"> кадров в Администрацию;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4) повышение эффективности деятельности Администрации.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1.4. Задачами установления системы мотивации являются: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1) ориентирование муниципальных служащих на достижение высокого уровня результативности профессиональной служебной деятельности и эффективности деятельности Администрации;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2) определение объективной оценки личного вклада муниципального служащего в обеспечение выполнения задач и реализации полномочий, возложенных на Администрацию;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3) обеспечение взаимосвязи системы мотивации с системой оценки результатов исполнения муниципальным служащим должностных обязанностей;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4) обеспечение сбалансированных форм и способов стимулирования муниципальных служащих;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5) ориентирование системы мер мотивации на новые возможности должностного и профессионального роста муниципальных служащих;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6) совершенствование и дальнейшее развитие системы мотивации.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1.5. Основными принципами системы мотивации являются: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1) единство форм и способов стимулирования муниципальных служащих;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2) дифференциация форм стимулирования;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3) справедливость поощрений;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4) доступность информации о действующей системе мотивации;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5) оперативность применения;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6) гарантированность форм стимулирования;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7) периодичность использования.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Title"/>
        <w:jc w:val="center"/>
        <w:outlineLvl w:val="1"/>
      </w:pPr>
      <w:r>
        <w:t>2. Материальное стимулирование муниципальных служащих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ind w:firstLine="540"/>
        <w:jc w:val="both"/>
      </w:pPr>
      <w:r>
        <w:t>Материальное стимулирование муниципальных служащих осуществляется способом предоставления им ежемесячного денежного поощрения и премиальных выплат за выполнение особо важных и сложных заданий.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Title"/>
        <w:jc w:val="center"/>
        <w:outlineLvl w:val="1"/>
      </w:pPr>
      <w:r>
        <w:t>3. Морально-материальное стимулирование</w:t>
      </w:r>
    </w:p>
    <w:p w:rsidR="00590D32" w:rsidRDefault="00590D32">
      <w:pPr>
        <w:pStyle w:val="ConsPlusTitle"/>
        <w:jc w:val="center"/>
      </w:pPr>
      <w:r>
        <w:t>муниципальных служащих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ind w:firstLine="540"/>
        <w:jc w:val="both"/>
      </w:pPr>
      <w:r>
        <w:t xml:space="preserve">Морально-материальное стимулирование муниципальных служащих осуществляется </w:t>
      </w:r>
      <w:r>
        <w:lastRenderedPageBreak/>
        <w:t xml:space="preserve">способом поощрительно-наградной оценки их профессиональной служебной деятельности в соответствии со </w:t>
      </w:r>
      <w:hyperlink r:id="rId13">
        <w:r>
          <w:rPr>
            <w:color w:val="0000FF"/>
          </w:rPr>
          <w:t>статьей 10</w:t>
        </w:r>
      </w:hyperlink>
      <w:r>
        <w:t xml:space="preserve"> Закона Московской области N 137/2007-ОЗ от 24.07.2007 "О муниципальной службе в Московской области" в виде: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1) объявления благодарности;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2) награждение Почетной грамотой;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3) других поощрений, предусмотренных законодательством Российской Федерации, Московской области и правовыми актами Одинцовского городского округа.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Title"/>
        <w:jc w:val="center"/>
        <w:outlineLvl w:val="1"/>
      </w:pPr>
      <w:r>
        <w:t>4. Социальное стимулирование муниципальных служащих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ind w:firstLine="540"/>
        <w:jc w:val="both"/>
      </w:pPr>
      <w:r>
        <w:t>4.1. Социальное стимулирование муниципальных служащих осуществляется способом предоставления им следующих гарантий: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1) условий работы, обеспечивающих исполнение должностных обязанностей;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2) денежное содержание и иные выплаты;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3)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>4)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590D32" w:rsidRDefault="00590D32">
      <w:pPr>
        <w:pStyle w:val="ConsPlusNormal"/>
        <w:spacing w:before="200"/>
        <w:ind w:firstLine="540"/>
        <w:jc w:val="both"/>
      </w:pPr>
      <w:r>
        <w:t xml:space="preserve">5) защита его и членов его семьи в </w:t>
      </w:r>
      <w:proofErr w:type="gramStart"/>
      <w:r>
        <w:t>порядке</w:t>
      </w:r>
      <w:proofErr w:type="gramEnd"/>
      <w:r>
        <w:t>, установленном федеральным законодательством, от насилия, угроз, других неправомерных действий в связи с исполнением им должностных обязанностей.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jc w:val="right"/>
      </w:pPr>
      <w:r>
        <w:t>Начальник Управления</w:t>
      </w:r>
    </w:p>
    <w:p w:rsidR="00590D32" w:rsidRDefault="00590D32">
      <w:pPr>
        <w:pStyle w:val="ConsPlusNormal"/>
        <w:jc w:val="right"/>
      </w:pPr>
      <w:r>
        <w:t>кадровой политики</w:t>
      </w:r>
    </w:p>
    <w:p w:rsidR="00590D32" w:rsidRDefault="00590D32">
      <w:pPr>
        <w:pStyle w:val="ConsPlusNormal"/>
        <w:jc w:val="right"/>
      </w:pPr>
      <w:r>
        <w:t>Большова Д.А.</w:t>
      </w: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jc w:val="both"/>
      </w:pPr>
    </w:p>
    <w:p w:rsidR="00590D32" w:rsidRDefault="00590D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1" w:name="_GoBack"/>
      <w:bookmarkEnd w:id="1"/>
    </w:p>
    <w:sectPr w:rsidR="00B979B7" w:rsidSect="0097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32"/>
    <w:rsid w:val="00590D32"/>
    <w:rsid w:val="00B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D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90D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90D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D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90D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90D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20F7D2B6D54C5D31EA2292C724904CFA52FE9E0F7A15E8A0871CB016740E6BDC4B471A87AB9A60CDCFAADD65g4D1O" TargetMode="External"/><Relationship Id="rId13" Type="http://schemas.openxmlformats.org/officeDocument/2006/relationships/hyperlink" Target="consultantplus://offline/ref=8120F7D2B6D54C5D31EA239CD224904CFD56F2930B7D15E8A0871CB016740E6BCE4B1F1686AC8468C9DAFC8C231692E7B4F5686600AA7546g0D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20F7D2B6D54C5D31EA2292C724904CFA52FE9F097015E8A0871CB016740E6BDC4B471A87AB9A60CDCFAADD65g4D1O" TargetMode="External"/><Relationship Id="rId12" Type="http://schemas.openxmlformats.org/officeDocument/2006/relationships/hyperlink" Target="consultantplus://offline/ref=8120F7D2B6D54C5D31EA239CD224904CFD56F2930B7D15E8A0871CB016740E6BDC4B471A87AB9A60CDCFAADD65g4D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20F7D2B6D54C5D31EA2292C724904CFD5AF8930E7C15E8A0871CB016740E6BDC4B471A87AB9A60CDCFAADD65g4D1O" TargetMode="External"/><Relationship Id="rId11" Type="http://schemas.openxmlformats.org/officeDocument/2006/relationships/hyperlink" Target="consultantplus://offline/ref=8120F7D2B6D54C5D31EA2292C724904CFA52FE9F097015E8A0871CB016740E6BDC4B471A87AB9A60CDCFAADD65g4D1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20F7D2B6D54C5D31EA2292C724904CFD5AF8930E7C15E8A0871CB016740E6BDC4B471A87AB9A60CDCFAADD65g4D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20F7D2B6D54C5D31EA239CD224904CFC5AF8960B7115E8A0871CB016740E6BDC4B471A87AB9A60CDCFAADD65g4D1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2022-03-17T14:03:00Z</dcterms:created>
  <dcterms:modified xsi:type="dcterms:W3CDTF">2022-03-17T14:03:00Z</dcterms:modified>
</cp:coreProperties>
</file>