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B8FB" w14:textId="77777777" w:rsidR="005F5455" w:rsidRPr="005F5455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EA736E5" w14:textId="77777777" w:rsidR="005F5455" w:rsidRDefault="005F5455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55">
        <w:rPr>
          <w:rFonts w:ascii="Times New Roman" w:hAnsi="Times New Roman" w:cs="Times New Roman"/>
          <w:b/>
          <w:sz w:val="24"/>
          <w:szCs w:val="24"/>
        </w:rPr>
        <w:t>О ПУБЛИЧНЫХ СЛУШАНИЯХ</w:t>
      </w:r>
    </w:p>
    <w:p w14:paraId="36A8E205" w14:textId="77777777" w:rsidR="00636703" w:rsidRPr="005F5455" w:rsidRDefault="00636703" w:rsidP="005F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1D5CA" w14:textId="50D74DE9" w:rsidR="005F5455" w:rsidRPr="005F5455" w:rsidRDefault="00E7531F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F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постановлением Главы Одинцовского городского округа </w:t>
      </w:r>
      <w:proofErr w:type="gramStart"/>
      <w:r w:rsidRPr="00E7531F">
        <w:rPr>
          <w:rFonts w:ascii="Times New Roman" w:hAnsi="Times New Roman" w:cs="Times New Roman"/>
          <w:sz w:val="24"/>
          <w:szCs w:val="24"/>
        </w:rPr>
        <w:t xml:space="preserve">от </w:t>
      </w:r>
      <w:r w:rsidR="009D2B5C" w:rsidRPr="009D2B5C">
        <w:rPr>
          <w:rFonts w:ascii="Times New Roman" w:hAnsi="Times New Roman" w:cs="Times New Roman"/>
          <w:sz w:val="24"/>
          <w:szCs w:val="24"/>
        </w:rPr>
        <w:t xml:space="preserve"> 11.03.2024</w:t>
      </w:r>
      <w:proofErr w:type="gramEnd"/>
      <w:r w:rsidR="009D2B5C" w:rsidRPr="009D2B5C">
        <w:rPr>
          <w:rFonts w:ascii="Times New Roman" w:hAnsi="Times New Roman" w:cs="Times New Roman"/>
          <w:sz w:val="24"/>
          <w:szCs w:val="24"/>
        </w:rPr>
        <w:t xml:space="preserve"> № 24-Пгл</w:t>
      </w:r>
      <w:r w:rsidR="001C5EBF" w:rsidRPr="001C5EBF">
        <w:rPr>
          <w:rFonts w:ascii="Times New Roman" w:hAnsi="Times New Roman" w:cs="Times New Roman"/>
          <w:sz w:val="24"/>
          <w:szCs w:val="24"/>
        </w:rPr>
        <w:t>.</w:t>
      </w:r>
    </w:p>
    <w:p w14:paraId="78912F4D" w14:textId="77777777" w:rsidR="00AC7579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D4C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5F5455">
        <w:rPr>
          <w:rFonts w:ascii="Times New Roman" w:hAnsi="Times New Roman" w:cs="Times New Roman"/>
          <w:sz w:val="24"/>
          <w:szCs w:val="24"/>
        </w:rPr>
        <w:t xml:space="preserve"> </w:t>
      </w:r>
      <w:r w:rsidR="00610D9B">
        <w:rPr>
          <w:rFonts w:ascii="Times New Roman" w:hAnsi="Times New Roman" w:cs="Times New Roman"/>
          <w:sz w:val="24"/>
          <w:szCs w:val="24"/>
        </w:rPr>
        <w:t>Обсуждение проекта решения Совета депутатов Одинцовского городского округа Московской области</w:t>
      </w:r>
    </w:p>
    <w:p w14:paraId="0923956E" w14:textId="0B3722C3" w:rsidR="005F5455" w:rsidRPr="00E9677B" w:rsidRDefault="001C5EBF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0310098"/>
      <w:r w:rsidRPr="001C5E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C5EBF">
        <w:rPr>
          <w:rFonts w:ascii="Times New Roman" w:hAnsi="Times New Roman" w:cs="Times New Roman"/>
          <w:sz w:val="24"/>
          <w:szCs w:val="24"/>
        </w:rPr>
        <w:t>б исполнении бюджета Одинцовского городского округа Московской области за 20</w:t>
      </w:r>
      <w:r w:rsidR="009D2B5C">
        <w:rPr>
          <w:rFonts w:ascii="Times New Roman" w:hAnsi="Times New Roman" w:cs="Times New Roman"/>
          <w:sz w:val="24"/>
          <w:szCs w:val="24"/>
        </w:rPr>
        <w:t>23</w:t>
      </w:r>
      <w:r w:rsidRPr="001C5EBF">
        <w:rPr>
          <w:rFonts w:ascii="Times New Roman" w:hAnsi="Times New Roman" w:cs="Times New Roman"/>
          <w:sz w:val="24"/>
          <w:szCs w:val="24"/>
        </w:rPr>
        <w:t xml:space="preserve"> год</w:t>
      </w:r>
      <w:r w:rsidR="00FA4C4A" w:rsidRPr="00E9677B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FA4C4A" w:rsidRPr="00E9677B">
        <w:rPr>
          <w:rFonts w:ascii="Times New Roman" w:hAnsi="Times New Roman" w:cs="Times New Roman"/>
          <w:sz w:val="24"/>
          <w:szCs w:val="24"/>
        </w:rPr>
        <w:t>.</w:t>
      </w:r>
    </w:p>
    <w:p w14:paraId="352857EE" w14:textId="77777777" w:rsidR="005F5455" w:rsidRPr="00E9677B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77B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Pr="00E9677B">
        <w:rPr>
          <w:rFonts w:ascii="Times New Roman" w:hAnsi="Times New Roman" w:cs="Times New Roman"/>
          <w:sz w:val="24"/>
          <w:szCs w:val="24"/>
        </w:rPr>
        <w:t xml:space="preserve"> </w:t>
      </w:r>
      <w:r w:rsidR="000E5139" w:rsidRPr="00E9677B">
        <w:rPr>
          <w:rFonts w:ascii="Times New Roman" w:hAnsi="Times New Roman" w:cs="Times New Roman"/>
          <w:sz w:val="24"/>
          <w:szCs w:val="24"/>
        </w:rPr>
        <w:t>Глава</w:t>
      </w:r>
      <w:r w:rsidRPr="00E9677B"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области.</w:t>
      </w:r>
    </w:p>
    <w:p w14:paraId="67C21D6D" w14:textId="57C403A0" w:rsidR="005F5455" w:rsidRPr="00E9677B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77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C70A0">
        <w:rPr>
          <w:rFonts w:ascii="Times New Roman" w:hAnsi="Times New Roman" w:cs="Times New Roman"/>
          <w:sz w:val="24"/>
          <w:szCs w:val="24"/>
        </w:rPr>
        <w:t>2</w:t>
      </w:r>
      <w:r w:rsidR="009D2B5C">
        <w:rPr>
          <w:rFonts w:ascii="Times New Roman" w:hAnsi="Times New Roman" w:cs="Times New Roman"/>
          <w:sz w:val="24"/>
          <w:szCs w:val="24"/>
        </w:rPr>
        <w:t>7</w:t>
      </w:r>
      <w:r w:rsidR="004C70A0">
        <w:rPr>
          <w:rFonts w:ascii="Times New Roman" w:hAnsi="Times New Roman" w:cs="Times New Roman"/>
          <w:sz w:val="24"/>
          <w:szCs w:val="24"/>
        </w:rPr>
        <w:t>.03.202</w:t>
      </w:r>
      <w:r w:rsidR="009D2B5C">
        <w:rPr>
          <w:rFonts w:ascii="Times New Roman" w:hAnsi="Times New Roman" w:cs="Times New Roman"/>
          <w:sz w:val="24"/>
          <w:szCs w:val="24"/>
        </w:rPr>
        <w:t>4</w:t>
      </w:r>
      <w:r w:rsidR="00345C42" w:rsidRPr="00E9677B">
        <w:rPr>
          <w:rFonts w:ascii="Times New Roman" w:hAnsi="Times New Roman" w:cs="Times New Roman"/>
          <w:sz w:val="24"/>
          <w:szCs w:val="24"/>
        </w:rPr>
        <w:t xml:space="preserve"> в 16</w:t>
      </w:r>
      <w:r w:rsidRPr="00E9677B">
        <w:rPr>
          <w:rFonts w:ascii="Times New Roman" w:hAnsi="Times New Roman" w:cs="Times New Roman"/>
          <w:sz w:val="24"/>
          <w:szCs w:val="24"/>
        </w:rPr>
        <w:t>.00.</w:t>
      </w:r>
    </w:p>
    <w:p w14:paraId="1CEFC1E1" w14:textId="65583A63" w:rsidR="005F5455" w:rsidRPr="00E9677B" w:rsidRDefault="005F5455" w:rsidP="005F5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77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610D9B" w:rsidRPr="00E9677B">
        <w:rPr>
          <w:rFonts w:ascii="Times New Roman" w:hAnsi="Times New Roman" w:cs="Times New Roman"/>
          <w:sz w:val="24"/>
          <w:szCs w:val="24"/>
        </w:rPr>
        <w:t xml:space="preserve"> Московская область</w:t>
      </w:r>
      <w:r w:rsidRPr="00E9677B">
        <w:rPr>
          <w:rFonts w:ascii="Times New Roman" w:hAnsi="Times New Roman" w:cs="Times New Roman"/>
          <w:sz w:val="24"/>
          <w:szCs w:val="24"/>
        </w:rPr>
        <w:t xml:space="preserve">, Одинцовский </w:t>
      </w:r>
      <w:r w:rsidR="00D11468">
        <w:rPr>
          <w:rFonts w:ascii="Times New Roman" w:hAnsi="Times New Roman" w:cs="Times New Roman"/>
          <w:sz w:val="24"/>
          <w:szCs w:val="24"/>
        </w:rPr>
        <w:t>городской округ</w:t>
      </w:r>
      <w:r w:rsidRPr="00E9677B">
        <w:rPr>
          <w:rFonts w:ascii="Times New Roman" w:hAnsi="Times New Roman" w:cs="Times New Roman"/>
          <w:sz w:val="24"/>
          <w:szCs w:val="24"/>
        </w:rPr>
        <w:t>, г. Одинц</w:t>
      </w:r>
      <w:r w:rsidR="004C70A0">
        <w:rPr>
          <w:rFonts w:ascii="Times New Roman" w:hAnsi="Times New Roman" w:cs="Times New Roman"/>
          <w:sz w:val="24"/>
          <w:szCs w:val="24"/>
        </w:rPr>
        <w:t>ово, ул. Маршала Жукова, д. 28 (здание Администрации Одинцовского городского округа).</w:t>
      </w:r>
    </w:p>
    <w:p w14:paraId="34EDA211" w14:textId="77777777" w:rsidR="005F5455" w:rsidRPr="00E9677B" w:rsidRDefault="005F5455" w:rsidP="005F54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993"/>
        <w:gridCol w:w="9043"/>
        <w:gridCol w:w="1843"/>
        <w:gridCol w:w="1304"/>
      </w:tblGrid>
      <w:tr w:rsidR="005F5455" w:rsidRPr="00E9677B" w14:paraId="11155D8B" w14:textId="77777777" w:rsidTr="00D32D04">
        <w:trPr>
          <w:tblHeader/>
        </w:trPr>
        <w:tc>
          <w:tcPr>
            <w:tcW w:w="567" w:type="dxa"/>
            <w:vAlign w:val="center"/>
          </w:tcPr>
          <w:p w14:paraId="1B6F2B0A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77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6" w:type="dxa"/>
            <w:vAlign w:val="center"/>
          </w:tcPr>
          <w:p w14:paraId="12D2CF57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77B">
              <w:rPr>
                <w:rFonts w:ascii="Times New Roman" w:hAnsi="Times New Roman" w:cs="Times New Roman"/>
                <w:b/>
              </w:rPr>
              <w:t>Вопросы, вынесенные на обсуждения</w:t>
            </w:r>
          </w:p>
        </w:tc>
        <w:tc>
          <w:tcPr>
            <w:tcW w:w="993" w:type="dxa"/>
            <w:vAlign w:val="center"/>
          </w:tcPr>
          <w:p w14:paraId="3C68F2A1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77B">
              <w:rPr>
                <w:rFonts w:ascii="Times New Roman" w:hAnsi="Times New Roman" w:cs="Times New Roman"/>
                <w:b/>
              </w:rPr>
              <w:t>Поряд</w:t>
            </w:r>
            <w:r w:rsidR="00E26B9E" w:rsidRPr="00E9677B">
              <w:rPr>
                <w:rFonts w:ascii="Times New Roman" w:hAnsi="Times New Roman" w:cs="Times New Roman"/>
                <w:b/>
              </w:rPr>
              <w:t>-</w:t>
            </w:r>
            <w:r w:rsidRPr="00E9677B">
              <w:rPr>
                <w:rFonts w:ascii="Times New Roman" w:hAnsi="Times New Roman" w:cs="Times New Roman"/>
                <w:b/>
              </w:rPr>
              <w:t>ковый номер предло</w:t>
            </w:r>
            <w:r w:rsidR="00E26B9E" w:rsidRPr="00E9677B">
              <w:rPr>
                <w:rFonts w:ascii="Times New Roman" w:hAnsi="Times New Roman" w:cs="Times New Roman"/>
                <w:b/>
              </w:rPr>
              <w:t>-</w:t>
            </w:r>
            <w:r w:rsidRPr="00E9677B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9043" w:type="dxa"/>
            <w:vAlign w:val="center"/>
          </w:tcPr>
          <w:p w14:paraId="2130E2E8" w14:textId="77777777" w:rsidR="005F5455" w:rsidRPr="00E9677B" w:rsidRDefault="005F5455" w:rsidP="00050707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E9677B">
              <w:rPr>
                <w:b/>
              </w:rPr>
              <w:t>Предложения и рекомендации экспертов</w:t>
            </w:r>
          </w:p>
        </w:tc>
        <w:tc>
          <w:tcPr>
            <w:tcW w:w="1843" w:type="dxa"/>
            <w:vAlign w:val="center"/>
          </w:tcPr>
          <w:p w14:paraId="6B7D9EA4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677B">
              <w:rPr>
                <w:rFonts w:ascii="Times New Roman" w:hAnsi="Times New Roman" w:cs="Times New Roman"/>
                <w:b/>
              </w:rPr>
              <w:t>Предложения внесено (поддержано)</w:t>
            </w:r>
          </w:p>
        </w:tc>
        <w:tc>
          <w:tcPr>
            <w:tcW w:w="1304" w:type="dxa"/>
            <w:vAlign w:val="center"/>
          </w:tcPr>
          <w:p w14:paraId="4D3BFAE7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9677B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E26B9E" w:rsidRPr="00E9677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677B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gramEnd"/>
          </w:p>
        </w:tc>
      </w:tr>
      <w:tr w:rsidR="005F5455" w:rsidRPr="00E9677B" w14:paraId="5377318A" w14:textId="77777777" w:rsidTr="00D32D04">
        <w:tc>
          <w:tcPr>
            <w:tcW w:w="567" w:type="dxa"/>
            <w:vAlign w:val="center"/>
          </w:tcPr>
          <w:p w14:paraId="7BB24701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677B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015AE355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677B">
              <w:rPr>
                <w:rFonts w:ascii="Times New Roman" w:hAnsi="Times New Roman" w:cs="Times New Roman"/>
                <w:i/>
                <w:szCs w:val="24"/>
              </w:rPr>
              <w:t>Формулировка вопроса</w:t>
            </w:r>
          </w:p>
        </w:tc>
        <w:tc>
          <w:tcPr>
            <w:tcW w:w="993" w:type="dxa"/>
            <w:vAlign w:val="center"/>
          </w:tcPr>
          <w:p w14:paraId="16CFF1FF" w14:textId="568DBE5C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043" w:type="dxa"/>
            <w:vAlign w:val="center"/>
          </w:tcPr>
          <w:p w14:paraId="42838D5E" w14:textId="77777777" w:rsidR="005F5455" w:rsidRPr="00E9677B" w:rsidRDefault="005F5455" w:rsidP="00050707">
            <w:pPr>
              <w:spacing w:after="0" w:line="240" w:lineRule="auto"/>
              <w:ind w:firstLine="33"/>
              <w:jc w:val="center"/>
              <w:rPr>
                <w:i/>
              </w:rPr>
            </w:pPr>
            <w:r w:rsidRPr="00E9677B">
              <w:rPr>
                <w:i/>
              </w:rPr>
              <w:t>Текст рекомендации/</w:t>
            </w:r>
            <w:r w:rsidR="00E26B9E" w:rsidRPr="00E9677B">
              <w:rPr>
                <w:i/>
              </w:rPr>
              <w:t xml:space="preserve"> </w:t>
            </w:r>
            <w:r w:rsidRPr="00E9677B">
              <w:rPr>
                <w:i/>
              </w:rPr>
              <w:t>предложения</w:t>
            </w:r>
          </w:p>
        </w:tc>
        <w:tc>
          <w:tcPr>
            <w:tcW w:w="1843" w:type="dxa"/>
            <w:vAlign w:val="center"/>
          </w:tcPr>
          <w:p w14:paraId="4BD32A4C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9677B">
              <w:rPr>
                <w:rFonts w:ascii="Times New Roman" w:hAnsi="Times New Roman" w:cs="Times New Roman"/>
                <w:i/>
                <w:szCs w:val="24"/>
              </w:rPr>
              <w:t>Ф.И.О. эксперта/ название организации</w:t>
            </w:r>
          </w:p>
        </w:tc>
        <w:tc>
          <w:tcPr>
            <w:tcW w:w="1304" w:type="dxa"/>
            <w:vAlign w:val="center"/>
          </w:tcPr>
          <w:p w14:paraId="7F0A915A" w14:textId="77777777" w:rsidR="005F5455" w:rsidRPr="00E9677B" w:rsidRDefault="005F5455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BE5" w:rsidRPr="00E9677B" w14:paraId="7E759B30" w14:textId="77777777" w:rsidTr="00D32D04">
        <w:trPr>
          <w:trHeight w:val="709"/>
        </w:trPr>
        <w:tc>
          <w:tcPr>
            <w:tcW w:w="567" w:type="dxa"/>
          </w:tcPr>
          <w:p w14:paraId="1EB4611D" w14:textId="77777777" w:rsidR="00456BE5" w:rsidRPr="00E9677B" w:rsidRDefault="00456BE5" w:rsidP="00FA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677B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96" w:type="dxa"/>
          </w:tcPr>
          <w:p w14:paraId="08FE512F" w14:textId="4AB15B06" w:rsidR="00456BE5" w:rsidRPr="007312D4" w:rsidRDefault="001C5EBF" w:rsidP="004C70A0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Отчет об исполнении бюджета Одинцовского городского округа Московской области за 202</w:t>
            </w:r>
            <w:r w:rsidR="009D2B5C">
              <w:rPr>
                <w:rFonts w:cstheme="minorHAnsi"/>
                <w:sz w:val="23"/>
                <w:szCs w:val="23"/>
              </w:rPr>
              <w:t>3</w:t>
            </w:r>
            <w:r w:rsidRPr="007312D4">
              <w:rPr>
                <w:rFonts w:cstheme="minorHAnsi"/>
                <w:sz w:val="23"/>
                <w:szCs w:val="23"/>
              </w:rPr>
              <w:t xml:space="preserve"> год</w:t>
            </w:r>
          </w:p>
        </w:tc>
        <w:tc>
          <w:tcPr>
            <w:tcW w:w="993" w:type="dxa"/>
          </w:tcPr>
          <w:p w14:paraId="1F7D1BAB" w14:textId="6B5125D9" w:rsidR="00456BE5" w:rsidRPr="007312D4" w:rsidRDefault="00D11468" w:rsidP="00AC7579">
            <w:pPr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1.1.</w:t>
            </w:r>
          </w:p>
        </w:tc>
        <w:tc>
          <w:tcPr>
            <w:tcW w:w="9043" w:type="dxa"/>
          </w:tcPr>
          <w:p w14:paraId="491E343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2023 году, аналогично предыдущим годам, в округе была продолжена работа по обеспечению устойчивого развития экономики и стабильности в округе. </w:t>
            </w:r>
          </w:p>
          <w:p w14:paraId="26C58117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Так, выявлено и поставлено на налоговый учет 29 новых налоговых резидентов. В результате поступили налоги в консолидированный бюджет Московской области на сумму более 10 млрд. руб.</w:t>
            </w:r>
          </w:p>
          <w:p w14:paraId="01F60CC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Создано более 10-и тысяч новых рабочих мест.</w:t>
            </w:r>
          </w:p>
          <w:p w14:paraId="5755C5D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заседаниях Комиссии по легализации неформальной занятости рассмотрено 147 работодателей, выплачивающих среднюю зарплату ниже установленного уровня. В результате работодателями повышена заработная плата работникам, что увеличило объем поступлений в бюджет налога на доходы физических лиц.  </w:t>
            </w:r>
          </w:p>
          <w:p w14:paraId="10940A9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Вовлечено в налоговый оборот более 1200 земельных участков и   4-х тысяч объектов капитального строительства. </w:t>
            </w:r>
          </w:p>
          <w:p w14:paraId="1A6673BC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Проведено 8 заседаний Межведомственной комиссии по вопросам погашения задолженности в бюджет с приглашением должников и освещением мероприятий в средствах массовой информации и в социальных сетях.    </w:t>
            </w:r>
          </w:p>
          <w:p w14:paraId="6772ADF7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По результатам работы Комиссии в отчетном периоде погашена и урегулирована задолженность в консолидированный бюджет Московской области в сумме около полумиллиарда рублей.</w:t>
            </w:r>
          </w:p>
          <w:p w14:paraId="3588BF3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>Направлено юридическим и физическим лицам более 400 писем о наличии задолженности и необходимости принятия мер по ее погашению.</w:t>
            </w:r>
          </w:p>
          <w:p w14:paraId="5A1B61D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результате проведения полного комплекса мер по взысканию задолженности в бюджеты всех уровней поступило 5 млрд. руб.</w:t>
            </w:r>
          </w:p>
          <w:p w14:paraId="678540EE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истекшем финансовом году Одинцовскому городскому округу присвоена первая наивысшая степень качества управления муниципальными финансами.</w:t>
            </w:r>
          </w:p>
          <w:p w14:paraId="7E18E3C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Одинцовский городской округ относится к муниципалитетам с высоким уровнем долговой устойчивости и социально ориентирован.</w:t>
            </w:r>
          </w:p>
          <w:p w14:paraId="1BE6D95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Доходы бюджета составили в 2023 году 40 млрд 447 млн. руб., расходы –                 41 млрд. 779 млн. руб.</w:t>
            </w:r>
          </w:p>
          <w:p w14:paraId="022C409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Бюджет округа исполнен с дефицитом 1 млрд. 332 млн. руб., или 6 процентов собственных доходов бюджета.</w:t>
            </w:r>
          </w:p>
          <w:p w14:paraId="76B58E01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По сравнению с 2022 годом рост доходов составил 11%, рост расходов бюджета - 13%. В абсолютном выражении это составляет более 4-х млрд. руб.  </w:t>
            </w:r>
          </w:p>
          <w:p w14:paraId="2E15B75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План по доходам в 2023 году выполнен на 99,6%. Недополучено в бюджет               153 млн. руб. за счет недовыполнения плана по межбюджетным трансфертам из бюджетов других уровней.</w:t>
            </w:r>
          </w:p>
          <w:p w14:paraId="1226B868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При этом план собственных доходов перевыполнен.</w:t>
            </w:r>
          </w:p>
          <w:p w14:paraId="727D2BA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Дополнительно привлечено в бюджет налоговых и неналоговых доходов в сумме 873 млн. руб.</w:t>
            </w:r>
          </w:p>
          <w:p w14:paraId="470140AC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Так, получено сверх плана:</w:t>
            </w:r>
          </w:p>
          <w:p w14:paraId="161AE29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налога на доходы физических лиц – 754 млн. руб.</w:t>
            </w:r>
          </w:p>
          <w:p w14:paraId="2072DDF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имущественных налогов – 52 млн. руб.</w:t>
            </w:r>
          </w:p>
          <w:p w14:paraId="71B95DC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налогов на совокупный доход – 6 млн. руб. </w:t>
            </w:r>
          </w:p>
          <w:p w14:paraId="6F4EDB4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доходов от использования имущества и продажи активов – 82 млн. руб.</w:t>
            </w:r>
          </w:p>
          <w:p w14:paraId="3F4014AE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структуре  налоговых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и неналоговых доходов в 2023 году наибольший удельный вес составляли:</w:t>
            </w:r>
          </w:p>
          <w:p w14:paraId="18662CD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налог на доходы физических лиц – 37% или 7 млрд. руб.</w:t>
            </w:r>
          </w:p>
          <w:p w14:paraId="22D398A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proofErr w:type="gramStart"/>
            <w:r w:rsidRPr="009D2B5C">
              <w:rPr>
                <w:rFonts w:cstheme="minorHAnsi"/>
                <w:sz w:val="23"/>
                <w:szCs w:val="23"/>
              </w:rPr>
              <w:t>имущественные  налоги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– около 25% или 5 млрд. руб.</w:t>
            </w:r>
          </w:p>
          <w:p w14:paraId="2A937F3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налоги на совокупный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доход  и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доходы от использования имущества и продажи активов – по 16%  или по 3 млрд. руб. </w:t>
            </w:r>
          </w:p>
          <w:p w14:paraId="7783CD7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Более половины объема доходов бюджета занимают безвозмездные поступления, исполнение по которым составило 95,5%.</w:t>
            </w:r>
          </w:p>
          <w:p w14:paraId="166F78A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При плане 23 млрд. руб. фактически поступило в бюджет на 1 млрд. меньше в соответствии с фактической потребностью.</w:t>
            </w:r>
          </w:p>
          <w:p w14:paraId="4D74475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>План расходов бюджета исполнен в 2023 году на 96%. При плане 43,5 млрд. руб. фактически израсходовано 41,8 млрд. По сравнению с 2022 годом расходы увеличились почти на 5 млрд. руб. или на 13%.</w:t>
            </w:r>
          </w:p>
          <w:p w14:paraId="00E239BE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Основные причины неисполнения плана – поступление межбюджетных трансфертов ниже плановых значений, наличие экономии и перенос отдельных расходов на 2024 год в соответствии с госпрограммами Московской области.</w:t>
            </w:r>
          </w:p>
          <w:p w14:paraId="01CDCCAC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реализацию национальных проектов Образование, Демография, Жилье и городская среда,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Культура  было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направлено  10,5 млрд. руб., что выше уровня 2022 года более чем на 20%. </w:t>
            </w:r>
          </w:p>
          <w:p w14:paraId="4F31A12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Программные расходы составили 99,4%, или 41,5 млрд. руб.</w:t>
            </w:r>
          </w:p>
          <w:p w14:paraId="3DFF284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бюджета в 2023 году были сформированы на основе муниципальных программ. </w:t>
            </w:r>
          </w:p>
          <w:p w14:paraId="00B8AFE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Наиболее емкая по объему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финансирования  -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муниципальная программа  «Образование»,  расходы по которой исполнены на 98%.    При плане 12 млрд. 118 млн. руб. освоено 11 млрд. 835 млн. руб. Основные причины недовыполнения плана – снижение фактического контингента и дней посещения детьми дошкольных отделений и учреждений общего образования от запланированного в связи с заболеваемостью;  перенос выполнения работ по капитальному ремонту детсадов на 2024 год, а так же наличие экономии при проведении конкурентных процедур. </w:t>
            </w:r>
          </w:p>
          <w:p w14:paraId="48417D7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По сравнению с 2022 годом расходы увеличились на 15% или на 1,6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млрд.руб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13776028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расходах на реализацию данной программы почти 70% составляют средства вышестоящих бюджетов.</w:t>
            </w:r>
          </w:p>
          <w:p w14:paraId="65B08B4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государственный стандарт направлено в 2023 году более 6 млрд. руб. </w:t>
            </w:r>
          </w:p>
          <w:p w14:paraId="40DB740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целях надлежащего содержания муниципальных учреждений осуществлялись ремонтные работы капитального и текущего характера и оснащение учреждений, благоустройство территорий, устройство спортивных площадок. Расходы составили более 1 млрд. руб. </w:t>
            </w:r>
          </w:p>
          <w:p w14:paraId="3DFF704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охрану объектов образования и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израсходовано 368 млн., на подвоз учащихся к школам – 277 млн. руб. </w:t>
            </w:r>
          </w:p>
          <w:p w14:paraId="0B83736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2023 году финансировалось содержание 785 дополнительных мест для детей от 1,5 до 7 лет в организациях, осуществляющих уход и присмотр. На данные цели направлено 72 млн. руб. </w:t>
            </w:r>
          </w:p>
          <w:p w14:paraId="4CEE991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обеспечение питанием детей в школах и детских садах израсходовано более 1 млрд. руб., в том числе на питание льготных категорий учащихся школ и дошкольных </w:t>
            </w:r>
            <w:r w:rsidRPr="009D2B5C">
              <w:rPr>
                <w:rFonts w:cstheme="minorHAnsi"/>
                <w:sz w:val="23"/>
                <w:szCs w:val="23"/>
              </w:rPr>
              <w:lastRenderedPageBreak/>
              <w:t xml:space="preserve">отделений и горячим питанием обучающихся, получающих начальное образование,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-  659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млн. руб. Обеспечено питанием 39 тысяч человек. </w:t>
            </w:r>
          </w:p>
          <w:p w14:paraId="7875134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выплату компенсации родительской платы за присмотр и уход за детьми в детских садах составили 81 млн. руб. Получили компенсацию более 14-и тыс. человек. </w:t>
            </w:r>
          </w:p>
          <w:p w14:paraId="3E715C8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допобразование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воспитание и психолого-социальное сопровождение детей направлено 114 млн. руб. Это расходы на содержание учреждений, выплаты стипендии Главы, доплаты педагогам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, расходы на бесплатные занятия детей мобилизованных граждан.</w:t>
            </w:r>
          </w:p>
          <w:p w14:paraId="1DF7FA91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реализацию МП "Культура" составили в 2023 году 1,6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млрд.руб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. </w:t>
            </w:r>
          </w:p>
          <w:p w14:paraId="4D545DB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Муниципальные услуги в сфере культуры и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оказывали 38 учреждений, на содержание которых направлено 1,5 млрд. </w:t>
            </w:r>
          </w:p>
          <w:p w14:paraId="389D56C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Приобретено музыкальных инструментов на сумму 7 млн. руб.</w:t>
            </w:r>
          </w:p>
          <w:p w14:paraId="0716195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обследование зданий, разработку проектно-сметной документации, проведение капитального и текущего ремонтов учреждений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культуры,  приобретение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основных средств, создание доступной среды израсходовано 35 млн. руб. </w:t>
            </w:r>
          </w:p>
          <w:p w14:paraId="75D5B47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Так, осуществлены работы по капремонту КДЦ Новое поколение в Городке-17 и ремонту кровли дома культуры «Ершовское», текущий ремонт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Большевяземской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школы искусств, модернизация, ремонт и пусконаладка сигнализационного оборудования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Дютьковском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музее.</w:t>
            </w:r>
          </w:p>
          <w:p w14:paraId="2278AE4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 сохранение достигнутого уровня зарплаты работников культуры направлено более 63-х млн. руб.</w:t>
            </w:r>
          </w:p>
          <w:p w14:paraId="0AC3394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реализацию муниципальной программы «Спорт» составили в 2023 году 840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млн.руб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7E7A38C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Выполнены работы по устройству линий электропередач для электроснабжения стадиона Спартак, техническому обследованию, монтажу системы видеонаблюдения, оказанию услуг электроснабжения, охране здания Академии Дзюдо. </w:t>
            </w:r>
          </w:p>
          <w:p w14:paraId="31E21E0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Осуществлены расходы на содержание спортивных школ и учреждений, а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так же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на проведение мероприятий в сфере физической культуры и спорта.</w:t>
            </w:r>
          </w:p>
          <w:p w14:paraId="4AA6379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Одной из приоритетных задач является выполнение майских Указов Президента РФ по сохранению уровня средней заработной платы в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сфере  образования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и культуры. Отметила, что, как и в предыдущие периоды, в 2023 году в округе этот показатель перевыполнен.</w:t>
            </w:r>
          </w:p>
          <w:p w14:paraId="65AEDE1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Так, среднемесячная заработная плата работников культуры в 2023 году выше «указного» показателя на 2,3%, педагогических работников школ на 4,8%, детских садов – на 3%, работников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– более чем на 5%.</w:t>
            </w:r>
          </w:p>
          <w:p w14:paraId="008BE4F7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 xml:space="preserve">По сравнению с 2022 годом среднемесячная зарплата работников культуры выросла более чем на 11% и составила 63,5 тыс. руб., среднемесячная зарплата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педработников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 школ  увеличилась почти на 8% и сложилась в размере 83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тыс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руб. Рост зарплаты работников детских садов -1,5%, средняя зарплата 65,6 тыс. руб. и по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допобразованию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средняя зарплата – 76 тыс. руб. с ростом к предыдущему году почти 5%.</w:t>
            </w:r>
          </w:p>
          <w:p w14:paraId="11DB96D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Около 80 тысяч детей получают услуги в образовательных учреждениях округа. При этом почти 7 тысяч учащихся получают еще и услуги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допобразования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3035CDE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указанные цели без учета расходов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капитального  характера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и обеспечивающих расходов составили в 2023 году около 11 млрд.  руб.</w:t>
            </w:r>
          </w:p>
          <w:p w14:paraId="1B28230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расчете на одного ребенка в год в среднем расходы сложились в следующих размерах:</w:t>
            </w:r>
          </w:p>
          <w:p w14:paraId="6DD5273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сфере дошкольного образования – 180 тыс. руб. Среднегодовой контингент детей – более 22 тыс. чел.</w:t>
            </w:r>
          </w:p>
          <w:p w14:paraId="254E2C61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сфере общего образования – 110 тыс. руб., контингент – 57 тыс. чел.</w:t>
            </w:r>
          </w:p>
          <w:p w14:paraId="43095AB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и расходы в сфере дополнительного образования – 76 тыс. руб. на ребенка в год, контингент – около 7 тыс. человек.</w:t>
            </w:r>
          </w:p>
          <w:p w14:paraId="58EA9B7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Ежегодно проводятся оздоровительные кампании детей Одинцовского округа. Всего на эти цели израсходовано 31 млн. руб., участвовало в кампании более 3-х тысяч учащихся. </w:t>
            </w:r>
          </w:p>
          <w:p w14:paraId="3B59F9EB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Приобретено 384 путевки в оздоровительные лагеря на сумму 20 млн. руб.</w:t>
            </w:r>
          </w:p>
          <w:p w14:paraId="05D58B3C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Сформировано 34 бригады по ремонту и благоустройству учреждений образования с участием более 900 учащихся. Организованы 35 оздоровительных лагеря с дневным пребыванием почти 2000 учащихся. Расходы составили 11 млн. руб.</w:t>
            </w:r>
          </w:p>
          <w:p w14:paraId="6C4B2E9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Отметила, что дополнительные меры социальной поддержки отдельных категорий детей, а также взрослых из бюджета округа имеют важное значение.</w:t>
            </w:r>
          </w:p>
          <w:p w14:paraId="1B4881F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2023 году за счет средств местного бюджета оказана дополнительная соцподдержка в сумме более 400 млн. руб. </w:t>
            </w:r>
          </w:p>
          <w:p w14:paraId="47AE083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proofErr w:type="gramStart"/>
            <w:r w:rsidRPr="009D2B5C">
              <w:rPr>
                <w:rFonts w:cstheme="minorHAnsi"/>
                <w:sz w:val="23"/>
                <w:szCs w:val="23"/>
              </w:rPr>
              <w:t>На  бесплатное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и льготное питание детей льготных категорий в школах и дошкольных отделениях  израсходовано более 280 млн. руб. </w:t>
            </w:r>
          </w:p>
          <w:p w14:paraId="7A7EF881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ежемесячную льготу в виде компенсации стоимости ЖКУ инвалидам, семьям, имеющим детей инвалидов, труженикам тыла, гражданам, награжденным медалью «За доблестный труд на благо Одинцовского района», на выплату семьям, воспитывающим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детей,  направлено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более 100 млн. руб.</w:t>
            </w:r>
          </w:p>
          <w:p w14:paraId="74105FB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Расходы на материальную поддержку участников Великой Отечественной войны 1941-1945 гг., на выплаты к памятным и юбилейным датам составили 16 млн. руб.</w:t>
            </w:r>
          </w:p>
          <w:p w14:paraId="33354DF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>Оказаны выплаты лицам, попавшим в трудную жизненную и кризисную ситуацию, выплаты на медикаменты и низкобелковые продукты, частичная компенсация расходов за найм жилья медработникам на общую сумму 6 млн. руб.</w:t>
            </w:r>
          </w:p>
          <w:p w14:paraId="1EFBFBA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муниципальную программу «Строительство объектов социальной инфраструктуры» в 2023 году израсходовано около 14 млрд. руб. против 8 млрд. в 2022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году,  то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есть на 6 млрд. больше уровня предыдущего года.</w:t>
            </w:r>
          </w:p>
          <w:p w14:paraId="43F12A9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строительство  детских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садов в ЖК "Гусарская баллада», в 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п.Новоивановское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г.Одинцово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по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ул.Кутузовская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направлено 1,6 млрд. руб.</w:t>
            </w:r>
          </w:p>
          <w:p w14:paraId="15FC2AFE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Осуществлялось проектирование и строительство 8 учреждений общего образования с объемом финансирования более 12 млрд. руб. Это строительство школ в ЖК «Гусарская баллада»,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п.Немчиновка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мкр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. Восточный г. Звенигород, в п.Горки-2, образовательного комплекса вблизи д. Раздоры, пристройки к гимназии №14,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пристроя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к школе №8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г.Одинцово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а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так же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реконструкция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Немчиновского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лицея. </w:t>
            </w:r>
          </w:p>
          <w:p w14:paraId="060A0BF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Всего в 2023 году финансировалось проектирование и строительство 11 объектов образования.</w:t>
            </w:r>
          </w:p>
          <w:p w14:paraId="4A79FDB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рамках муниципальной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программы  «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>Развитие инженерной инфраструктуры и энергоэффективности» в 2023 году осуществлялось проектирование и строительство 9 объектов жилищно-коммунального хозяйства, расходы на которые составили 690 млн. руб.</w:t>
            </w:r>
          </w:p>
          <w:p w14:paraId="4506258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Средства направлены на реконструкцию очистных сооружений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г.Звенигород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В.Посад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ВЗУ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с.Каринское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, ЦТП в Жуковке-1 и котельной в Жуковке-2.</w:t>
            </w:r>
          </w:p>
          <w:p w14:paraId="17DB592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Осуществлялось строительство новых блоков очистки и доочистки на очистных сооружениях ВНИИССОК,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ливневой  канализации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д.Раздоры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блочно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-модульных очистных сооружений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Каринском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блочно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-модульной котельной в Жуковке-2, проводился комплекс работ на ТКО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Часцы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54F91413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При реализации программы ЖКХ были направлены средства на проведение капремонта тепловых сетей, содержание шахтных колодцев, водопроводов и водозаборных колонок, установку приборов учета и автоматизированных систем контроля за газовой безопасностью в муниципальных квартирах многоквартирных жилых домов, а также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были  предоставлены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субсидии предприятиям ЖКХ. </w:t>
            </w:r>
          </w:p>
          <w:p w14:paraId="7283F8F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реализацию программы «Формирование современной комфортной городской среды» израсходовано 4,3 млрд. руб. </w:t>
            </w:r>
          </w:p>
          <w:p w14:paraId="4BF3E4D1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благоустройство общественных территорий, парков, скверов сложились в сумме более 700 млн. руб. Проведены работы по благоустройству ул. Интернациональной </w:t>
            </w:r>
            <w:r w:rsidRPr="009D2B5C">
              <w:rPr>
                <w:rFonts w:cstheme="minorHAnsi"/>
                <w:sz w:val="23"/>
                <w:szCs w:val="23"/>
              </w:rPr>
              <w:lastRenderedPageBreak/>
              <w:t xml:space="preserve">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г.Одинцово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сквера возле памятника воинам-землякам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д.Жуковка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лесопарковых зон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Супонево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в Звенигороде, в Новой Трехгорке, установлена стела в Кубинке.</w:t>
            </w:r>
          </w:p>
          <w:p w14:paraId="669DF6C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содержание и ремонт дворовых территорий и объектов благоустройства, асфальтового покрытия дворовых территорий, создание и ремонт пешеходных коммуникаций направлено более 3-х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млрд.руб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5510E36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содержание, ремонт и устройство уличного освещения, замену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неэнергоэффективных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светильников израсходовано 355 млн. руб.</w:t>
            </w:r>
          </w:p>
          <w:p w14:paraId="03F06EE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обустройство, модернизацию и установку детских игровых площадок сложились в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сумме  231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млн. руб. Проведена замена  и модернизация оборудования на 41 детской игровой площадке, обустроено 9 игровых площадок.</w:t>
            </w:r>
          </w:p>
          <w:p w14:paraId="39DAC21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Расходы на объекты дорожно-транспортного комплекса составили более 2-х млрд. руб. Это:</w:t>
            </w:r>
          </w:p>
          <w:p w14:paraId="1855057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реконструкцию улицы Чистяковой и проезда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д.Жуковка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– 876 млн. руб.</w:t>
            </w:r>
          </w:p>
          <w:p w14:paraId="10BE50B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на капремонт и ремонт дорог общего пользования и мостов – 311 млн. руб. Осуществлен капитальный ремонт моста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с.Ромашково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путепровода в г. Одинцово, автодороги от 82 км Можайского шоссе до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Болтино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в районе Кубинки, 78 км Можайского шоссе до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д.Труфановка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подъезда к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д.Маслово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а так же  ремонт дорог к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д.Сальково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и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Кобяково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Транспортного и Коммунального проезда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г.Одинцово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подъезд к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д.Лохино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и  к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Лайковскому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кладбищу.</w:t>
            </w:r>
          </w:p>
          <w:p w14:paraId="702A2FD9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Израсходовано 17 млн. руб. на проектирование и проведение экспертизы дороги от Можайского шоссе – Покровское – Ястребки до СНТ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Клин,  разработку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проектно-сметной документации по капремонту дороги 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д.Власово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и по строительству подъезда к микрорайону 9 от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ул.Сосновая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1D7A95B7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по содержанию дорог общего пользования составили 961 млн. руб. </w:t>
            </w:r>
          </w:p>
          <w:p w14:paraId="02CE46F4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 реализацию программы «Безопасность» направлено 359 млн. При этом на оказание услуг видеоизображения и установку камер на подъездах жилых домов израсходовано около 130 млн. руб.</w:t>
            </w:r>
          </w:p>
          <w:p w14:paraId="3E84BE55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рамках данной программы выполнены работы по благоустройству памятного знака в честь воинов 32-й стрелковой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дивизии  в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д.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Акулово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>.</w:t>
            </w:r>
          </w:p>
          <w:p w14:paraId="0586857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Расходы на Экологию составили более 100 млн. руб. Это расходы на финансирование содержания полигона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Часцы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на обследование состояния окружающей среды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и  гидрологического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обследования  водных объектов.</w:t>
            </w:r>
          </w:p>
          <w:p w14:paraId="14BC0F9D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2023 году за счет средств бюджета переселены 64 семьи из аварийных жилых домов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рп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Б.Вяземы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г.Звенигорода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д.Подлипки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 и </w:t>
            </w:r>
            <w:proofErr w:type="spellStart"/>
            <w:r w:rsidRPr="009D2B5C">
              <w:rPr>
                <w:rFonts w:cstheme="minorHAnsi"/>
                <w:sz w:val="23"/>
                <w:szCs w:val="23"/>
              </w:rPr>
              <w:t>д.Солослово</w:t>
            </w:r>
            <w:proofErr w:type="spellEnd"/>
            <w:r w:rsidRPr="009D2B5C">
              <w:rPr>
                <w:rFonts w:cstheme="minorHAnsi"/>
                <w:sz w:val="23"/>
                <w:szCs w:val="23"/>
              </w:rPr>
              <w:t xml:space="preserve">. Всего израсходовано на переселение 422 млн. руб. </w:t>
            </w:r>
          </w:p>
          <w:p w14:paraId="0DAFAF8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 xml:space="preserve">Обеспечены жильем 19 детей-сирот. </w:t>
            </w:r>
          </w:p>
          <w:p w14:paraId="27EDE8C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3 молодые семьи и 1 многодетная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семья  из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8-и человек приобрели жилье с участием средств бюджета. Общая сумма расходов на данные мероприятия составила 120 млн. руб. </w:t>
            </w:r>
          </w:p>
          <w:p w14:paraId="6D07AAC6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 поддержку социально ориентированных некоммерческих организаций выделены субсидии в сумме 2 млн. руб.</w:t>
            </w:r>
          </w:p>
          <w:p w14:paraId="5A2F6CA2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В целях поддержки малого предпринимательства предоставлены субсидии 11 предпринимателям округа в общей сумме 20 млн. руб.  </w:t>
            </w:r>
          </w:p>
          <w:p w14:paraId="686762AF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В 2023 году работа Администрации была направлена на повышение эффективности управления муниципальным долгом и уменьшение финансовой нагрузки на бюджет.</w:t>
            </w:r>
          </w:p>
          <w:p w14:paraId="6141B9A0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Снижение фактического привлечения коммерческих кредитов по отношению к плановому значению на 514 млн. руб., а также сверхплановое досрочное погашение коммерческих кредитов в сумме 100 млн. руб. позволило уменьшить в целом размер привлеченного в 2023 году кредита, и соответственно долговых обязательств на 614 млн. руб., или почти на 18%. </w:t>
            </w:r>
          </w:p>
          <w:p w14:paraId="317B181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 xml:space="preserve">Принятые в отчетном году меры по управлению долговыми обязательствами, перевыполнение плана собственных доходов </w:t>
            </w:r>
            <w:proofErr w:type="gramStart"/>
            <w:r w:rsidRPr="009D2B5C">
              <w:rPr>
                <w:rFonts w:cstheme="minorHAnsi"/>
                <w:sz w:val="23"/>
                <w:szCs w:val="23"/>
              </w:rPr>
              <w:t>бюджета  позволили</w:t>
            </w:r>
            <w:proofErr w:type="gramEnd"/>
            <w:r w:rsidRPr="009D2B5C">
              <w:rPr>
                <w:rFonts w:cstheme="minorHAnsi"/>
                <w:sz w:val="23"/>
                <w:szCs w:val="23"/>
              </w:rPr>
              <w:t xml:space="preserve"> к концу года сократить первоначально запланированные расходы на обслуживание муниципального долга на 327 млн. руб.</w:t>
            </w:r>
          </w:p>
          <w:p w14:paraId="5A586347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Отчёт об исполнении бюджета публикуется в средствах массовой информации и выносится на публичные слушания в сроки, определённые бюджетным законодательством.</w:t>
            </w:r>
          </w:p>
          <w:p w14:paraId="0BE57FBA" w14:textId="77777777" w:rsidR="009D2B5C" w:rsidRPr="009D2B5C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На официальном сайте Администрации Одинцовского городского округа публикуется упрощенная версия бюджетного документа, которая использует неформальный язык и доступные форматы, чтобы облегчить для граждан понимание бюджета.</w:t>
            </w:r>
          </w:p>
          <w:p w14:paraId="52225ADC" w14:textId="7E61A961" w:rsidR="007A58BD" w:rsidRPr="007312D4" w:rsidRDefault="009D2B5C" w:rsidP="009D2B5C">
            <w:pPr>
              <w:pStyle w:val="aa"/>
              <w:ind w:firstLine="430"/>
              <w:jc w:val="both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t>Материалы публичных слушаний также будут опубликованы на сайте и в официальных средствах массовой информации</w:t>
            </w:r>
          </w:p>
        </w:tc>
        <w:tc>
          <w:tcPr>
            <w:tcW w:w="1843" w:type="dxa"/>
          </w:tcPr>
          <w:p w14:paraId="0B0487E3" w14:textId="77777777" w:rsidR="007A58BD" w:rsidRPr="007312D4" w:rsidRDefault="007A58BD" w:rsidP="00B719E3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  <w:p w14:paraId="47DDBA66" w14:textId="10FDCEDF" w:rsidR="00456BE5" w:rsidRPr="007312D4" w:rsidRDefault="00456BE5" w:rsidP="00B719E3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Тарасова Л.В</w:t>
            </w:r>
            <w:r w:rsidR="00B719E3" w:rsidRPr="007312D4">
              <w:rPr>
                <w:rFonts w:cstheme="minorHAnsi"/>
                <w:sz w:val="23"/>
                <w:szCs w:val="23"/>
              </w:rPr>
              <w:t>.</w:t>
            </w:r>
            <w:r w:rsidRPr="007312D4">
              <w:rPr>
                <w:rFonts w:cstheme="minorHAnsi"/>
                <w:sz w:val="23"/>
                <w:szCs w:val="23"/>
              </w:rPr>
              <w:t xml:space="preserve"> – заместитель Главы Одинцовского городского округа – начальник Финансово-казначейского управления</w:t>
            </w:r>
          </w:p>
        </w:tc>
        <w:tc>
          <w:tcPr>
            <w:tcW w:w="1304" w:type="dxa"/>
          </w:tcPr>
          <w:p w14:paraId="2044B7F8" w14:textId="77777777" w:rsidR="007A58BD" w:rsidRPr="000C6C03" w:rsidRDefault="007A58BD">
            <w:pPr>
              <w:rPr>
                <w:sz w:val="20"/>
                <w:szCs w:val="20"/>
              </w:rPr>
            </w:pPr>
          </w:p>
          <w:p w14:paraId="07526191" w14:textId="77777777" w:rsidR="00456BE5" w:rsidRPr="00E9677B" w:rsidRDefault="008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56BE5"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017AF2" w:rsidRPr="00E9677B" w14:paraId="43E98CB6" w14:textId="77777777" w:rsidTr="00D32D04">
        <w:trPr>
          <w:trHeight w:val="984"/>
        </w:trPr>
        <w:tc>
          <w:tcPr>
            <w:tcW w:w="567" w:type="dxa"/>
            <w:vAlign w:val="center"/>
          </w:tcPr>
          <w:p w14:paraId="65807A2F" w14:textId="77777777" w:rsidR="00017AF2" w:rsidRPr="00E9677B" w:rsidRDefault="00017AF2" w:rsidP="009C5D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CDC4DFF" w14:textId="77777777" w:rsidR="00017AF2" w:rsidRPr="007312D4" w:rsidRDefault="00017AF2" w:rsidP="009C5D4C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7AA8D8D8" w14:textId="6543A2C1" w:rsidR="00017AF2" w:rsidRPr="007312D4" w:rsidRDefault="00017AF2" w:rsidP="00D11468">
            <w:pPr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1.2.</w:t>
            </w:r>
          </w:p>
        </w:tc>
        <w:tc>
          <w:tcPr>
            <w:tcW w:w="9043" w:type="dxa"/>
            <w:vAlign w:val="center"/>
          </w:tcPr>
          <w:p w14:paraId="05537AD7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В 2023 году реализация мероприятий по созданию условий для комфортного проживания населения на </w:t>
            </w:r>
            <w:proofErr w:type="gram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территории  округа</w:t>
            </w:r>
            <w:proofErr w:type="gram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 осуществлялось в рамках государственной и муниципальной программы в сфере формирования современной комфортной  городской среды.</w:t>
            </w:r>
          </w:p>
          <w:p w14:paraId="6E9C4FB6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В прошедшем году было благоустроено 2 общественные территории, отремонтировано 29 дворовых территорий,  модернизировано  38 детских и спортивных игровых площадок, реализовано строительство 9 новых детских игровых площадок по программе Губернатора Московской области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А.Ю.Воробьева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, обустроено 2 объекта </w:t>
            </w: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lastRenderedPageBreak/>
              <w:t xml:space="preserve">уличного освещения в рамках программы «Светлый город», проведены работы по ямочному ремонту площадью более 27 тыс.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кв.м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,  реализована программа «Народные тропы» - 27 пешеходных коммуникаций было построено, модернизировано и реконструировано 2 места памяти.</w:t>
            </w:r>
          </w:p>
          <w:p w14:paraId="7DAAEF80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Работы по устройству общественных пространств включали в себя 2 проекта: 1 – благоустройство сквера на улице Интернациональная в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г.Одинцово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, 2 – сквер–площадь в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д.Жуковка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возле памятника воинам-землякам. Проведен большой объем работ.</w:t>
            </w:r>
          </w:p>
          <w:p w14:paraId="21B30168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В рамках ремонта 29 дворовых территорий установлено 29 детских игровых площадок, отремонтировано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асфальто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-бетонное покрытие (50 тыс. </w:t>
            </w:r>
            <w:proofErr w:type="spellStart"/>
            <w:proofErr w:type="gram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), проведены работы по освещению (замена и установка 2600 м линий и установка 1320 светильников). В рамках акций «Посади свое дерево» и «Лес Победы» высажено более 12 350 деревьев и кустарников.</w:t>
            </w:r>
          </w:p>
          <w:p w14:paraId="6B49A8A7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По программе Губернатора установлено 9 новых детских игровых площадок, которые оснащены резиновым покрытием, современным игровым оборудованием, оборудованы видеокамерами «Безопасный регион» и имеют высокую посещаемость.</w:t>
            </w:r>
          </w:p>
          <w:p w14:paraId="03D7FF84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Выполнены работы по модернизации 27 детских и 11 спортивных площадок.</w:t>
            </w:r>
          </w:p>
          <w:p w14:paraId="10720D59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Благоустроено 2 места памяти: </w:t>
            </w:r>
          </w:p>
          <w:p w14:paraId="0276D120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- территория памятника ВОВ в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д.Акулово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(проведена реконструкция и ремонт памятника, обновлена дорожно-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тропиночная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сеть, проведены работы по облицовке Вечного огня и стелы воинского захоронения);</w:t>
            </w:r>
          </w:p>
          <w:p w14:paraId="2341582C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- в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г.Кубинка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установлена стела Воинской Славы, создано место отдыха, установлены скамейки, урны, проведено озеленение.</w:t>
            </w:r>
          </w:p>
          <w:p w14:paraId="1CE05586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За счет средств бюджета Одинцовского городского округа установлено 23 объекта наружного освещения, проведены работы по созданию освещения на детских игровых площадках - 9 объектов (установлено 40 светильников и 1440 м линий), работы по освещению парковок и внутриквартальных  проездов  - 14 объектов (установлено и заменено 328 светильников и  6020 м линий).</w:t>
            </w:r>
          </w:p>
          <w:p w14:paraId="653DAF5F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Принято 59 бесхозных линий на баланс муниципалитета.</w:t>
            </w:r>
          </w:p>
          <w:p w14:paraId="0A7DCA79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В рамках проекта «Светлый город» </w:t>
            </w:r>
            <w:proofErr w:type="gram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реализовано  2</w:t>
            </w:r>
            <w:proofErr w:type="gram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объекта с привлечением субсидий Московской области, установлено 75 светильников и устроено 2 375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п.м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. линий электропередач.</w:t>
            </w:r>
          </w:p>
          <w:p w14:paraId="16CD3A35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В целях устранения дефектов асфальтового покрытия дворовых территорий и проездов был выполнен ремонт силами подрядных и муниципальных организаций 1689 ям по площади 27 тыс.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кв.м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.</w:t>
            </w:r>
          </w:p>
          <w:p w14:paraId="5A3ECA36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lastRenderedPageBreak/>
              <w:t xml:space="preserve">В рамках проекта «Народные тропы» обустроено 27 пешеходных коммуникаций, из них 17 к дворовым и общественным пространствам, 5 – к образовательным учреждениям и 5 – к автобусным остановкам. </w:t>
            </w:r>
          </w:p>
          <w:p w14:paraId="35E053FB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Планы работы на 2024 год:</w:t>
            </w:r>
          </w:p>
          <w:p w14:paraId="7A02A044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- благоустройство 1 общественной территории (Центральная площадь в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г.Одинцово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);</w:t>
            </w:r>
          </w:p>
          <w:p w14:paraId="51CB59F9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- комплексное благоустройство 17 дворовых территорий;</w:t>
            </w:r>
          </w:p>
          <w:p w14:paraId="0147764F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- модернизация 39 детских игровых площадок;</w:t>
            </w:r>
          </w:p>
          <w:p w14:paraId="2D9267CD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- установка 4 игровых площадок по программе Губернатора (модернизация устаревших);</w:t>
            </w:r>
          </w:p>
          <w:p w14:paraId="64A4F8AA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- строительство велосипедного маршрута (связь трех парков);</w:t>
            </w:r>
          </w:p>
          <w:p w14:paraId="27E48B41" w14:textId="77777777" w:rsidR="009D2B5C" w:rsidRPr="009D2B5C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- ямочный ремонт – 27 тыс. </w:t>
            </w:r>
            <w:proofErr w:type="spellStart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кв.м</w:t>
            </w:r>
            <w:proofErr w:type="spellEnd"/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.</w:t>
            </w:r>
          </w:p>
          <w:p w14:paraId="3A93D2ED" w14:textId="671D064F" w:rsidR="00017AF2" w:rsidRPr="007312D4" w:rsidRDefault="009D2B5C" w:rsidP="009D2B5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9D2B5C">
              <w:rPr>
                <w:rFonts w:eastAsia="Times New Roman" w:cstheme="minorHAnsi"/>
                <w:sz w:val="23"/>
                <w:szCs w:val="23"/>
                <w:lang w:eastAsia="ru-RU"/>
              </w:rPr>
              <w:t>- устройство 32 новых пешеходных коммуникаций (программа «Пешком»).</w:t>
            </w:r>
          </w:p>
        </w:tc>
        <w:tc>
          <w:tcPr>
            <w:tcW w:w="1843" w:type="dxa"/>
          </w:tcPr>
          <w:p w14:paraId="540F9CB2" w14:textId="6E23E181" w:rsidR="00017AF2" w:rsidRPr="007312D4" w:rsidRDefault="009D2B5C" w:rsidP="00E7531F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9D2B5C">
              <w:rPr>
                <w:rFonts w:cstheme="minorHAnsi"/>
                <w:sz w:val="23"/>
                <w:szCs w:val="23"/>
              </w:rPr>
              <w:lastRenderedPageBreak/>
              <w:t>Григорьев С.Ю. – заместитель Главы Одинцовского городского округа</w:t>
            </w:r>
          </w:p>
        </w:tc>
        <w:tc>
          <w:tcPr>
            <w:tcW w:w="1304" w:type="dxa"/>
          </w:tcPr>
          <w:p w14:paraId="75FB4741" w14:textId="77777777" w:rsidR="00017AF2" w:rsidRPr="000C6C03" w:rsidRDefault="00017AF2">
            <w:pPr>
              <w:rPr>
                <w:sz w:val="20"/>
                <w:szCs w:val="20"/>
              </w:rPr>
            </w:pPr>
          </w:p>
        </w:tc>
      </w:tr>
      <w:tr w:rsidR="0024605D" w:rsidRPr="00E9677B" w14:paraId="6AC1CA98" w14:textId="77777777" w:rsidTr="00DE1ABE">
        <w:trPr>
          <w:trHeight w:val="357"/>
        </w:trPr>
        <w:tc>
          <w:tcPr>
            <w:tcW w:w="567" w:type="dxa"/>
            <w:vAlign w:val="center"/>
          </w:tcPr>
          <w:p w14:paraId="1B8D67FC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ADAF069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5C45B905" w14:textId="77777777" w:rsidR="0024605D" w:rsidRPr="007312D4" w:rsidRDefault="0024605D" w:rsidP="0024605D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043" w:type="dxa"/>
          </w:tcPr>
          <w:p w14:paraId="79D7DC97" w14:textId="38F58FFC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 xml:space="preserve">Поступили </w:t>
            </w:r>
            <w:r w:rsidRPr="0024605D">
              <w:rPr>
                <w:rFonts w:eastAsia="Times New Roman" w:cstheme="minorHAnsi"/>
                <w:lang w:eastAsia="ru-RU"/>
              </w:rPr>
              <w:t xml:space="preserve">четыре </w:t>
            </w:r>
            <w:r w:rsidRPr="0024605D">
              <w:rPr>
                <w:rFonts w:eastAsia="Times New Roman" w:cstheme="minorHAnsi"/>
                <w:lang w:eastAsia="ru-RU"/>
              </w:rPr>
              <w:t>письменны</w:t>
            </w:r>
            <w:r w:rsidRPr="0024605D">
              <w:rPr>
                <w:rFonts w:eastAsia="Times New Roman" w:cstheme="minorHAnsi"/>
                <w:lang w:eastAsia="ru-RU"/>
              </w:rPr>
              <w:t>х</w:t>
            </w:r>
            <w:r w:rsidRPr="0024605D">
              <w:rPr>
                <w:rFonts w:eastAsia="Times New Roman" w:cstheme="minorHAnsi"/>
                <w:lang w:eastAsia="ru-RU"/>
              </w:rPr>
              <w:t xml:space="preserve"> обращения,</w:t>
            </w:r>
            <w:r w:rsidRPr="0024605D">
              <w:rPr>
                <w:rFonts w:eastAsia="Times New Roman" w:cstheme="minorHAnsi"/>
                <w:lang w:eastAsia="ru-RU"/>
              </w:rPr>
              <w:t xml:space="preserve"> в том числе три,</w:t>
            </w:r>
            <w:r w:rsidRPr="0024605D">
              <w:rPr>
                <w:rFonts w:eastAsia="Times New Roman" w:cstheme="minorHAnsi"/>
                <w:lang w:eastAsia="ru-RU"/>
              </w:rPr>
              <w:t xml:space="preserve"> не относящиеся к вопросу публичных слушаний</w:t>
            </w:r>
            <w:r w:rsidRPr="0024605D">
              <w:rPr>
                <w:rFonts w:eastAsia="Times New Roman" w:cstheme="minorHAnsi"/>
                <w:lang w:eastAsia="ru-RU"/>
              </w:rPr>
              <w:t>. По одному обращению-устное выступление</w:t>
            </w:r>
          </w:p>
        </w:tc>
        <w:tc>
          <w:tcPr>
            <w:tcW w:w="1843" w:type="dxa"/>
          </w:tcPr>
          <w:p w14:paraId="69367CA5" w14:textId="77777777" w:rsidR="0024605D" w:rsidRPr="00BF1420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304" w:type="dxa"/>
          </w:tcPr>
          <w:p w14:paraId="6A58C671" w14:textId="1D02820F" w:rsidR="0024605D" w:rsidRDefault="0024605D" w:rsidP="0024605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2D04">
              <w:rPr>
                <w:rFonts w:ascii="Times New Roman" w:hAnsi="Times New Roman" w:cs="Times New Roman"/>
                <w:sz w:val="18"/>
                <w:szCs w:val="18"/>
              </w:rPr>
              <w:t xml:space="preserve"> письменных обращения</w:t>
            </w:r>
          </w:p>
        </w:tc>
      </w:tr>
      <w:tr w:rsidR="0024605D" w:rsidRPr="00E9677B" w14:paraId="1F420110" w14:textId="77777777" w:rsidTr="00D32D04">
        <w:trPr>
          <w:trHeight w:val="984"/>
        </w:trPr>
        <w:tc>
          <w:tcPr>
            <w:tcW w:w="567" w:type="dxa"/>
            <w:vAlign w:val="center"/>
          </w:tcPr>
          <w:p w14:paraId="00CF8464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4169EDC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62D9300B" w14:textId="7EF65B47" w:rsidR="0024605D" w:rsidRPr="007312D4" w:rsidRDefault="0024605D" w:rsidP="0024605D">
            <w:pPr>
              <w:jc w:val="center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1.3.</w:t>
            </w:r>
          </w:p>
        </w:tc>
        <w:tc>
          <w:tcPr>
            <w:tcW w:w="9043" w:type="dxa"/>
            <w:vAlign w:val="center"/>
          </w:tcPr>
          <w:p w14:paraId="108F7A31" w14:textId="77777777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 xml:space="preserve">Отметила, что доходы бюджета Одинцовского городского округа в отчетном году в целом составили более 40 млрд. руб., расходы – почти 42 млрд. руб., из которых большая часть </w:t>
            </w:r>
            <w:proofErr w:type="gramStart"/>
            <w:r w:rsidRPr="0024605D">
              <w:rPr>
                <w:rFonts w:eastAsia="Times New Roman" w:cstheme="minorHAnsi"/>
                <w:lang w:eastAsia="ru-RU"/>
              </w:rPr>
              <w:t>- это</w:t>
            </w:r>
            <w:proofErr w:type="gramEnd"/>
            <w:r w:rsidRPr="0024605D">
              <w:rPr>
                <w:rFonts w:eastAsia="Times New Roman" w:cstheme="minorHAnsi"/>
                <w:lang w:eastAsia="ru-RU"/>
              </w:rPr>
              <w:t xml:space="preserve"> расходы социальной направленности, т.е. образование, культура, физическая культура и спорт, социальная политика, ЖКХ, благоустройство, дорожное хозяйство.</w:t>
            </w:r>
          </w:p>
          <w:p w14:paraId="6B4F59AD" w14:textId="5814A331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>Обратила внимание, что в округе в 2023 году осуществлялось проектирование и строительство 20-и объектов образования и ЖКХ с объемом расходов почти 14 млрд. руб., также велись работы по реконструкции, капитальному ремонту и ремонту дорог общего пользования. На ремонты учреждений израсходовано почти 900 млн. руб. Были обеспечены жильем дети-сироты, из аварийного жилого фонда переселены несколько семей, на дополнительные меры социальной поддержки граждан округа направлено 405 млн. руб.</w:t>
            </w:r>
          </w:p>
          <w:p w14:paraId="5E3044AC" w14:textId="42616703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>Сказала об участии округа в реализации национальных проектов.</w:t>
            </w:r>
          </w:p>
          <w:p w14:paraId="7CC75A04" w14:textId="101BF3B1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>Обратила внимание, что в Одинцовском городском округе на протяжении ряда лет выполняются и перевыполняются показатели по средней заработной плате работников образования, культуры и спорта, установленные майскими Указами Президента.</w:t>
            </w:r>
          </w:p>
          <w:p w14:paraId="06D53C00" w14:textId="77777777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 xml:space="preserve">Отметила, что благодаря областным и федеральным средствам осуществляется строительство и приобретение объектов муниципальной собственности, укрепление материально-технической базы муниципальных учреждений, приведены в достойное состояние учреждения образования, отремонтированы дороги. </w:t>
            </w:r>
          </w:p>
          <w:p w14:paraId="13EF2435" w14:textId="3D6B78E2" w:rsidR="0024605D" w:rsidRP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lang w:eastAsia="ru-RU"/>
              </w:rPr>
            </w:pPr>
            <w:r w:rsidRPr="0024605D">
              <w:rPr>
                <w:rFonts w:eastAsia="Times New Roman" w:cstheme="minorHAnsi"/>
                <w:lang w:eastAsia="ru-RU"/>
              </w:rPr>
              <w:t>Предложила одобрить представленный отчет об исполнении бюджета округа за 2023 год и вынести его на рассмотрение Совета депутатов Одинцовского городского округа для утверждения.</w:t>
            </w:r>
          </w:p>
        </w:tc>
        <w:tc>
          <w:tcPr>
            <w:tcW w:w="1843" w:type="dxa"/>
          </w:tcPr>
          <w:p w14:paraId="584CB37C" w14:textId="246D7EB6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BF1420">
              <w:rPr>
                <w:rFonts w:cstheme="minorHAnsi"/>
                <w:sz w:val="23"/>
                <w:szCs w:val="23"/>
              </w:rPr>
              <w:t>Гинтова</w:t>
            </w:r>
            <w:proofErr w:type="spellEnd"/>
            <w:r w:rsidRPr="00BF1420">
              <w:rPr>
                <w:rFonts w:cstheme="minorHAnsi"/>
                <w:sz w:val="23"/>
                <w:szCs w:val="23"/>
              </w:rPr>
              <w:t xml:space="preserve"> Нина Васильевна - депутат Совета депутатов Одинцовского городского округа, член постоянной комиссии Совета депутатов по бюджетной, налоговой и инвестиционной политике</w:t>
            </w:r>
          </w:p>
        </w:tc>
        <w:tc>
          <w:tcPr>
            <w:tcW w:w="1304" w:type="dxa"/>
          </w:tcPr>
          <w:p w14:paraId="21B7B25B" w14:textId="14C5F579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1C4235E3" w14:textId="77777777" w:rsidTr="00D32D04">
        <w:tc>
          <w:tcPr>
            <w:tcW w:w="567" w:type="dxa"/>
            <w:vAlign w:val="center"/>
          </w:tcPr>
          <w:p w14:paraId="422F7889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23002AD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76E377B1" w14:textId="50ECD6F7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1.4.</w:t>
            </w:r>
          </w:p>
        </w:tc>
        <w:tc>
          <w:tcPr>
            <w:tcW w:w="9043" w:type="dxa"/>
            <w:vAlign w:val="center"/>
          </w:tcPr>
          <w:p w14:paraId="0D4A96C0" w14:textId="07E129DB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О</w:t>
            </w: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братила внимание на проблемы с исполнением обязательств подрядчиком по контракту на пристройку к Одинцовской СОШ №8.  Отметила, что не проведен ремонт стадиона в Одинцовской СОШ №5, а 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также  территории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и забора детского сада №40. </w:t>
            </w:r>
          </w:p>
          <w:p w14:paraId="01860804" w14:textId="77777777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Сообщила, что направила депутатам Одинцовского округа предложение включить в проект 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строительство  школы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в 6 микрорайоне.</w:t>
            </w:r>
          </w:p>
          <w:p w14:paraId="0DEE20C7" w14:textId="77777777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Обратила внимание, что по </w:t>
            </w:r>
            <w:proofErr w:type="spell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Глазынинскому</w:t>
            </w:r>
            <w:proofErr w:type="spell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лесопарку нет реализации проекта благоустройства, не выделены средства.</w:t>
            </w:r>
          </w:p>
          <w:p w14:paraId="38C382E2" w14:textId="036C22ED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Отметила, что имеются проблемы по содержанию бассейна «Звезда», а 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так же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с уборкой снега с территорий.</w:t>
            </w:r>
          </w:p>
        </w:tc>
        <w:tc>
          <w:tcPr>
            <w:tcW w:w="1843" w:type="dxa"/>
          </w:tcPr>
          <w:p w14:paraId="3F80FBAE" w14:textId="481C571C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BF1420">
              <w:rPr>
                <w:rFonts w:cstheme="minorHAnsi"/>
                <w:sz w:val="23"/>
                <w:szCs w:val="23"/>
              </w:rPr>
              <w:t>Бубнова</w:t>
            </w:r>
            <w:proofErr w:type="spellEnd"/>
            <w:r w:rsidRPr="00BF1420">
              <w:rPr>
                <w:rFonts w:cstheme="minorHAnsi"/>
                <w:sz w:val="23"/>
                <w:szCs w:val="23"/>
              </w:rPr>
              <w:t xml:space="preserve"> Ольга Анатольевна – житель города Одинцово</w:t>
            </w:r>
          </w:p>
        </w:tc>
        <w:tc>
          <w:tcPr>
            <w:tcW w:w="1304" w:type="dxa"/>
          </w:tcPr>
          <w:p w14:paraId="52442B69" w14:textId="0724F35C" w:rsidR="0024605D" w:rsidRPr="00E9677B" w:rsidRDefault="0024605D" w:rsidP="0024605D">
            <w:pPr>
              <w:rPr>
                <w:sz w:val="20"/>
                <w:szCs w:val="20"/>
              </w:rPr>
            </w:pPr>
            <w:r w:rsidRPr="00BF1420">
              <w:rPr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7D5DAF18" w14:textId="77777777" w:rsidTr="00D32D04">
        <w:tc>
          <w:tcPr>
            <w:tcW w:w="567" w:type="dxa"/>
            <w:vAlign w:val="center"/>
          </w:tcPr>
          <w:p w14:paraId="716C7A66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9A09928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51208858" w14:textId="7130B5E0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1.5.</w:t>
            </w:r>
          </w:p>
        </w:tc>
        <w:tc>
          <w:tcPr>
            <w:tcW w:w="9043" w:type="dxa"/>
            <w:vAlign w:val="center"/>
          </w:tcPr>
          <w:p w14:paraId="681B78A0" w14:textId="451CE056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Не выступал</w:t>
            </w:r>
          </w:p>
        </w:tc>
        <w:tc>
          <w:tcPr>
            <w:tcW w:w="1843" w:type="dxa"/>
          </w:tcPr>
          <w:p w14:paraId="00EF781B" w14:textId="6F13E500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BF1420">
              <w:rPr>
                <w:rFonts w:cstheme="minorHAnsi"/>
                <w:sz w:val="23"/>
                <w:szCs w:val="23"/>
              </w:rPr>
              <w:t>Королев Максим Владимирович – житель города Одинцово</w:t>
            </w:r>
          </w:p>
        </w:tc>
        <w:tc>
          <w:tcPr>
            <w:tcW w:w="1304" w:type="dxa"/>
          </w:tcPr>
          <w:p w14:paraId="7DDF5F73" w14:textId="77777777" w:rsidR="0024605D" w:rsidRDefault="0024605D" w:rsidP="0024605D">
            <w:pPr>
              <w:rPr>
                <w:sz w:val="20"/>
                <w:szCs w:val="20"/>
              </w:rPr>
            </w:pPr>
          </w:p>
        </w:tc>
      </w:tr>
      <w:tr w:rsidR="0024605D" w:rsidRPr="00E9677B" w14:paraId="6DC84925" w14:textId="77777777" w:rsidTr="00D32D04">
        <w:tc>
          <w:tcPr>
            <w:tcW w:w="567" w:type="dxa"/>
            <w:vAlign w:val="center"/>
          </w:tcPr>
          <w:p w14:paraId="49751B46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CA4205A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2F79E0F5" w14:textId="3FD55E97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1.6.</w:t>
            </w:r>
          </w:p>
        </w:tc>
        <w:tc>
          <w:tcPr>
            <w:tcW w:w="9043" w:type="dxa"/>
            <w:vAlign w:val="center"/>
          </w:tcPr>
          <w:p w14:paraId="71B7DCAF" w14:textId="6FC82FDE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Не выступал</w:t>
            </w:r>
          </w:p>
        </w:tc>
        <w:tc>
          <w:tcPr>
            <w:tcW w:w="1843" w:type="dxa"/>
          </w:tcPr>
          <w:p w14:paraId="359A22EE" w14:textId="3655CEBB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BF1420">
              <w:rPr>
                <w:rFonts w:cstheme="minorHAnsi"/>
                <w:sz w:val="23"/>
                <w:szCs w:val="23"/>
              </w:rPr>
              <w:t>Чугунов Алексей Анатольевич – житель города Одинцово</w:t>
            </w:r>
          </w:p>
        </w:tc>
        <w:tc>
          <w:tcPr>
            <w:tcW w:w="1304" w:type="dxa"/>
          </w:tcPr>
          <w:p w14:paraId="753AD9F4" w14:textId="6DE138AE" w:rsidR="0024605D" w:rsidRDefault="0024605D" w:rsidP="0024605D">
            <w:pPr>
              <w:rPr>
                <w:sz w:val="20"/>
                <w:szCs w:val="20"/>
              </w:rPr>
            </w:pPr>
          </w:p>
        </w:tc>
      </w:tr>
      <w:tr w:rsidR="0024605D" w:rsidRPr="00E9677B" w14:paraId="5FBB4A4E" w14:textId="77777777" w:rsidTr="00D32D04">
        <w:tc>
          <w:tcPr>
            <w:tcW w:w="567" w:type="dxa"/>
            <w:vAlign w:val="center"/>
          </w:tcPr>
          <w:p w14:paraId="79ED0582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4F93B20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385DE782" w14:textId="02E29507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1.7.</w:t>
            </w:r>
          </w:p>
        </w:tc>
        <w:tc>
          <w:tcPr>
            <w:tcW w:w="9043" w:type="dxa"/>
            <w:vAlign w:val="center"/>
          </w:tcPr>
          <w:p w14:paraId="16EA5A3A" w14:textId="175584CB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В</w:t>
            </w: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ыразила благодарность за поддержку, которая оказывается в округе малому бизнесу за счет средств бюджета Одинцовского округа.</w:t>
            </w:r>
          </w:p>
          <w:p w14:paraId="3794119A" w14:textId="77777777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Сказала, что компании ООО «Ресурс-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Ф»  благодаря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полученной субсидии из бюджета удалось компенсировать произведенные затраты на покупку оборудования, что позволит дальше развиваться, создавая новые рабочие места и расширяя ассортимент выпускаемой продукции.</w:t>
            </w:r>
          </w:p>
          <w:p w14:paraId="46741311" w14:textId="77777777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Отметила, что данная поддержка очень важна для малого бизнеса, и выразила надежду, что в 2024 году и последующих годах такой вид финансовой поддержки будет продолжен.</w:t>
            </w:r>
          </w:p>
          <w:p w14:paraId="68C61F73" w14:textId="6E0C5002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Предложила одобрить представленный отчет об исполнении бюджета Одинцовского городского 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округа  за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2023 год</w:t>
            </w:r>
          </w:p>
        </w:tc>
        <w:tc>
          <w:tcPr>
            <w:tcW w:w="1843" w:type="dxa"/>
          </w:tcPr>
          <w:p w14:paraId="13B17B50" w14:textId="27BBFDE5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BF1420">
              <w:rPr>
                <w:rFonts w:cstheme="minorHAnsi"/>
                <w:sz w:val="23"/>
                <w:szCs w:val="23"/>
              </w:rPr>
              <w:t>Лавренюк</w:t>
            </w:r>
            <w:proofErr w:type="spellEnd"/>
            <w:r w:rsidRPr="00BF1420">
              <w:rPr>
                <w:rFonts w:cstheme="minorHAnsi"/>
                <w:sz w:val="23"/>
                <w:szCs w:val="23"/>
              </w:rPr>
              <w:t xml:space="preserve"> Татьяна </w:t>
            </w:r>
            <w:proofErr w:type="spellStart"/>
            <w:r w:rsidRPr="00BF1420">
              <w:rPr>
                <w:rFonts w:cstheme="minorHAnsi"/>
                <w:sz w:val="23"/>
                <w:szCs w:val="23"/>
              </w:rPr>
              <w:t>Рихардовна</w:t>
            </w:r>
            <w:proofErr w:type="spellEnd"/>
            <w:r w:rsidRPr="00BF1420">
              <w:rPr>
                <w:rFonts w:cstheme="minorHAnsi"/>
                <w:sz w:val="23"/>
                <w:szCs w:val="23"/>
              </w:rPr>
              <w:t xml:space="preserve"> – житель п.  Большие   </w:t>
            </w:r>
            <w:proofErr w:type="gramStart"/>
            <w:r w:rsidRPr="00BF1420">
              <w:rPr>
                <w:rFonts w:cstheme="minorHAnsi"/>
                <w:sz w:val="23"/>
                <w:szCs w:val="23"/>
              </w:rPr>
              <w:t>Вяземы,  генеральный</w:t>
            </w:r>
            <w:proofErr w:type="gramEnd"/>
            <w:r w:rsidRPr="00BF1420">
              <w:rPr>
                <w:rFonts w:cstheme="minorHAnsi"/>
                <w:sz w:val="23"/>
                <w:szCs w:val="23"/>
              </w:rPr>
              <w:t xml:space="preserve"> директор ООО «Ресурс-Ф»</w:t>
            </w:r>
          </w:p>
        </w:tc>
        <w:tc>
          <w:tcPr>
            <w:tcW w:w="1304" w:type="dxa"/>
          </w:tcPr>
          <w:p w14:paraId="1AD45B32" w14:textId="77777777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24605D" w:rsidRPr="00E9677B" w14:paraId="662539F0" w14:textId="77777777" w:rsidTr="00D32D04">
        <w:tc>
          <w:tcPr>
            <w:tcW w:w="567" w:type="dxa"/>
            <w:vAlign w:val="center"/>
          </w:tcPr>
          <w:p w14:paraId="2F1E7491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E6ABD89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FF608F6" w14:textId="31E9FDAE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1.8.</w:t>
            </w:r>
          </w:p>
        </w:tc>
        <w:tc>
          <w:tcPr>
            <w:tcW w:w="9043" w:type="dxa"/>
            <w:vAlign w:val="center"/>
          </w:tcPr>
          <w:p w14:paraId="2493A7E5" w14:textId="35CDC390" w:rsidR="0024605D" w:rsidRPr="00BF1420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О</w:t>
            </w: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братила внимание на контроль за выполнением мероприятий и работ, финансируемых из бюджета. Отметила, что несмотря на большие средства, выделяемые из бюджета, от населения поступает много жалоб на качество </w:t>
            </w:r>
            <w:proofErr w:type="gramStart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выполняемых  работ</w:t>
            </w:r>
            <w:proofErr w:type="gramEnd"/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. </w:t>
            </w:r>
          </w:p>
          <w:p w14:paraId="3CC29730" w14:textId="4F9CB044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BF1420">
              <w:rPr>
                <w:rFonts w:eastAsia="Times New Roman" w:cstheme="minorHAnsi"/>
                <w:sz w:val="23"/>
                <w:szCs w:val="23"/>
                <w:lang w:eastAsia="ru-RU"/>
              </w:rPr>
              <w:t>Обратила внимание на проблему вывоза мусора Рузским региональным оператором.</w:t>
            </w:r>
          </w:p>
        </w:tc>
        <w:tc>
          <w:tcPr>
            <w:tcW w:w="1843" w:type="dxa"/>
          </w:tcPr>
          <w:p w14:paraId="102EF3C4" w14:textId="3D1AD6BF" w:rsidR="0024605D" w:rsidRPr="008179F5" w:rsidRDefault="0024605D" w:rsidP="0024605D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8179F5">
              <w:rPr>
                <w:rFonts w:cstheme="minorHAnsi"/>
                <w:sz w:val="21"/>
                <w:szCs w:val="21"/>
              </w:rPr>
              <w:t xml:space="preserve">Кононова Наталья Ивановна – депутат Совета депутатов </w:t>
            </w:r>
            <w:r w:rsidRPr="008179F5">
              <w:rPr>
                <w:rFonts w:cstheme="minorHAnsi"/>
                <w:sz w:val="21"/>
                <w:szCs w:val="21"/>
              </w:rPr>
              <w:lastRenderedPageBreak/>
              <w:t>Одинцовского городского округа</w:t>
            </w:r>
          </w:p>
        </w:tc>
        <w:tc>
          <w:tcPr>
            <w:tcW w:w="1304" w:type="dxa"/>
          </w:tcPr>
          <w:p w14:paraId="744A6C2F" w14:textId="77777777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24605D" w:rsidRPr="00E9677B" w14:paraId="0BF8C35A" w14:textId="77777777" w:rsidTr="00D32D04">
        <w:tc>
          <w:tcPr>
            <w:tcW w:w="567" w:type="dxa"/>
            <w:vAlign w:val="center"/>
          </w:tcPr>
          <w:p w14:paraId="3D2C978F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2BF2DF3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2B52BDC9" w14:textId="70B6BB5A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1.9.</w:t>
            </w:r>
          </w:p>
        </w:tc>
        <w:tc>
          <w:tcPr>
            <w:tcW w:w="9043" w:type="dxa"/>
          </w:tcPr>
          <w:p w14:paraId="17C05F6A" w14:textId="77777777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Поблагодарила руководство Одинцовского городского округа и Губернатора Подмосковья за вклад в программу капитального ремонта школ. </w:t>
            </w:r>
          </w:p>
          <w:p w14:paraId="2047A143" w14:textId="0563EF03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Отметила, что после ремонта МКОУ РАООП «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Старогородковская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специальная (коррекционная) школа-интернат им. Заслуженного учителя РФ 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Фурагиной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А.В.</w:t>
            </w: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полностью обновилась, облик здания изменился и преобразился, школа стала светлой, уютной, современной.</w:t>
            </w:r>
          </w:p>
        </w:tc>
        <w:tc>
          <w:tcPr>
            <w:tcW w:w="1843" w:type="dxa"/>
          </w:tcPr>
          <w:p w14:paraId="770247A0" w14:textId="2F937C78" w:rsidR="0024605D" w:rsidRPr="008179F5" w:rsidRDefault="0024605D" w:rsidP="0024605D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8179F5">
              <w:rPr>
                <w:rFonts w:cstheme="minorHAnsi"/>
                <w:sz w:val="21"/>
                <w:szCs w:val="21"/>
              </w:rPr>
              <w:t>Саманева</w:t>
            </w:r>
            <w:proofErr w:type="spellEnd"/>
            <w:r w:rsidRPr="008179F5">
              <w:rPr>
                <w:rFonts w:cstheme="minorHAnsi"/>
                <w:sz w:val="21"/>
                <w:szCs w:val="21"/>
              </w:rPr>
              <w:t xml:space="preserve"> Елена Анатольевна – житель </w:t>
            </w:r>
            <w:proofErr w:type="spellStart"/>
            <w:r w:rsidRPr="008179F5">
              <w:rPr>
                <w:rFonts w:cstheme="minorHAnsi"/>
                <w:sz w:val="21"/>
                <w:szCs w:val="21"/>
              </w:rPr>
              <w:t>д.Ивонино</w:t>
            </w:r>
            <w:proofErr w:type="spellEnd"/>
          </w:p>
        </w:tc>
        <w:tc>
          <w:tcPr>
            <w:tcW w:w="1304" w:type="dxa"/>
          </w:tcPr>
          <w:p w14:paraId="2D82BF7C" w14:textId="77777777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24605D" w:rsidRPr="00E9677B" w14:paraId="7D83F656" w14:textId="77777777" w:rsidTr="00D32D04">
        <w:tc>
          <w:tcPr>
            <w:tcW w:w="567" w:type="dxa"/>
            <w:vAlign w:val="center"/>
          </w:tcPr>
          <w:p w14:paraId="616B1C39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526B050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846E5B3" w14:textId="4D25FAAA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1.10.</w:t>
            </w:r>
          </w:p>
        </w:tc>
        <w:tc>
          <w:tcPr>
            <w:tcW w:w="9043" w:type="dxa"/>
          </w:tcPr>
          <w:p w14:paraId="44609522" w14:textId="52ABBEB2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proofErr w:type="gram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Выразила  благодарность</w:t>
            </w:r>
            <w:proofErr w:type="gram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за организацию питания в МБОУ Школа «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КвантУм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»  для детей. Отметила, что меню разнообразное, завтраки и обеды вкусные, детям все нравится.  </w:t>
            </w:r>
          </w:p>
        </w:tc>
        <w:tc>
          <w:tcPr>
            <w:tcW w:w="1843" w:type="dxa"/>
          </w:tcPr>
          <w:p w14:paraId="484625B3" w14:textId="237884A1" w:rsidR="0024605D" w:rsidRPr="008179F5" w:rsidRDefault="0024605D" w:rsidP="0024605D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8179F5">
              <w:rPr>
                <w:rFonts w:cstheme="minorHAnsi"/>
                <w:sz w:val="21"/>
                <w:szCs w:val="21"/>
              </w:rPr>
              <w:t>Кромаренко</w:t>
            </w:r>
            <w:proofErr w:type="spellEnd"/>
            <w:r w:rsidRPr="008179F5">
              <w:rPr>
                <w:rFonts w:cstheme="minorHAnsi"/>
                <w:sz w:val="21"/>
                <w:szCs w:val="21"/>
              </w:rPr>
              <w:t xml:space="preserve"> Ирина Юрьевна – житель </w:t>
            </w:r>
            <w:proofErr w:type="spellStart"/>
            <w:r w:rsidRPr="008179F5">
              <w:rPr>
                <w:rFonts w:cstheme="minorHAnsi"/>
                <w:sz w:val="21"/>
                <w:szCs w:val="21"/>
              </w:rPr>
              <w:t>г.Звенигород</w:t>
            </w:r>
            <w:proofErr w:type="spellEnd"/>
          </w:p>
        </w:tc>
        <w:tc>
          <w:tcPr>
            <w:tcW w:w="1304" w:type="dxa"/>
          </w:tcPr>
          <w:p w14:paraId="46211087" w14:textId="77777777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24605D" w:rsidRPr="00E9677B" w14:paraId="332D8638" w14:textId="77777777" w:rsidTr="00D32D04">
        <w:tc>
          <w:tcPr>
            <w:tcW w:w="567" w:type="dxa"/>
            <w:vAlign w:val="center"/>
          </w:tcPr>
          <w:p w14:paraId="4A8E45A4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F127CEB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34F2322" w14:textId="4D34F431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1.11.</w:t>
            </w:r>
          </w:p>
        </w:tc>
        <w:tc>
          <w:tcPr>
            <w:tcW w:w="9043" w:type="dxa"/>
            <w:vAlign w:val="center"/>
          </w:tcPr>
          <w:p w14:paraId="5244123E" w14:textId="0221F663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В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ыразил благодарность депутатскому корпусу, Главе округа за то, что при таком напряженном бюджете уделяется существенная поддержка общественным организациям. В 2023 году выделенные средства позволили решить практически все вопросы, которые стояли перед организацией. Учитывая отсутствие взносов в организации, такая субсидия очень необходима. </w:t>
            </w:r>
          </w:p>
          <w:p w14:paraId="187CB855" w14:textId="77777777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Положительно отметил помощь малому и среднему бизнесу на развитие. </w:t>
            </w:r>
          </w:p>
          <w:p w14:paraId="09E29D6B" w14:textId="03B84643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Поддержал проект решения.</w:t>
            </w:r>
          </w:p>
        </w:tc>
        <w:tc>
          <w:tcPr>
            <w:tcW w:w="1843" w:type="dxa"/>
          </w:tcPr>
          <w:p w14:paraId="55BDC199" w14:textId="3065C4D4" w:rsidR="0024605D" w:rsidRPr="008179F5" w:rsidRDefault="0024605D" w:rsidP="0024605D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proofErr w:type="spellStart"/>
            <w:r w:rsidRPr="008179F5">
              <w:rPr>
                <w:rFonts w:cstheme="minorHAnsi"/>
                <w:sz w:val="21"/>
                <w:szCs w:val="21"/>
              </w:rPr>
              <w:t>Обыночный</w:t>
            </w:r>
            <w:proofErr w:type="spellEnd"/>
            <w:r w:rsidRPr="008179F5">
              <w:rPr>
                <w:rFonts w:cstheme="minorHAnsi"/>
                <w:sz w:val="21"/>
                <w:szCs w:val="21"/>
              </w:rPr>
              <w:t xml:space="preserve"> Сергей Миронович – председатель районной общественной организации по патриотическому воспитанию «Офицеры России»</w:t>
            </w:r>
          </w:p>
        </w:tc>
        <w:tc>
          <w:tcPr>
            <w:tcW w:w="1304" w:type="dxa"/>
          </w:tcPr>
          <w:p w14:paraId="6BB8FF78" w14:textId="77777777" w:rsidR="0024605D" w:rsidRPr="00E9677B" w:rsidRDefault="0024605D" w:rsidP="002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9677B">
              <w:rPr>
                <w:sz w:val="20"/>
                <w:szCs w:val="20"/>
              </w:rPr>
              <w:t>стное выступление</w:t>
            </w:r>
          </w:p>
        </w:tc>
      </w:tr>
      <w:tr w:rsidR="0024605D" w:rsidRPr="00E9677B" w14:paraId="038A1478" w14:textId="77777777" w:rsidTr="00D32D04">
        <w:tc>
          <w:tcPr>
            <w:tcW w:w="567" w:type="dxa"/>
            <w:vAlign w:val="center"/>
          </w:tcPr>
          <w:p w14:paraId="26332972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3C9C99E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3F4865A6" w14:textId="319E7B97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1.12.</w:t>
            </w:r>
          </w:p>
        </w:tc>
        <w:tc>
          <w:tcPr>
            <w:tcW w:w="9043" w:type="dxa"/>
          </w:tcPr>
          <w:p w14:paraId="5770746F" w14:textId="1FA0801A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С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казала, что общественная организация получает поддержку от Администрации округа с 2015 года в виде грантов и субсидий. Полученную помощь организация направляет на реализацию экологических проектов по популяризации здорового образа жизни, экологического воспитания и мировоззрения. В 2023 году на выделенный грант было собрано более 250 кг батареек, более 300 кг макулатуры, более 200 человек приняло участие в экологических образовательных мероприятиях, которые проводила организация. Выразила благодарность Администрации и поддержала проект решения.</w:t>
            </w:r>
          </w:p>
        </w:tc>
        <w:tc>
          <w:tcPr>
            <w:tcW w:w="1843" w:type="dxa"/>
          </w:tcPr>
          <w:p w14:paraId="102FAC15" w14:textId="2967124A" w:rsidR="0024605D" w:rsidRPr="008179F5" w:rsidRDefault="0024605D" w:rsidP="0024605D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8179F5">
              <w:rPr>
                <w:rFonts w:cstheme="minorHAnsi"/>
                <w:sz w:val="21"/>
                <w:szCs w:val="21"/>
              </w:rPr>
              <w:t xml:space="preserve">Степанова Виктория Викторовна </w:t>
            </w:r>
            <w:proofErr w:type="gramStart"/>
            <w:r w:rsidRPr="008179F5">
              <w:rPr>
                <w:rFonts w:cstheme="minorHAnsi"/>
                <w:sz w:val="21"/>
                <w:szCs w:val="21"/>
              </w:rPr>
              <w:t>-  председатель</w:t>
            </w:r>
            <w:proofErr w:type="gramEnd"/>
            <w:r w:rsidRPr="008179F5">
              <w:rPr>
                <w:rFonts w:cstheme="minorHAnsi"/>
                <w:sz w:val="21"/>
                <w:szCs w:val="21"/>
              </w:rPr>
              <w:t xml:space="preserve"> Московской областной общественной организации по содействию и защите окружающей среды «Зеленая волна»</w:t>
            </w:r>
          </w:p>
        </w:tc>
        <w:tc>
          <w:tcPr>
            <w:tcW w:w="1304" w:type="dxa"/>
          </w:tcPr>
          <w:p w14:paraId="0FE9485F" w14:textId="17185760" w:rsidR="0024605D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4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6D094090" w14:textId="77777777" w:rsidTr="00D32D04">
        <w:tc>
          <w:tcPr>
            <w:tcW w:w="567" w:type="dxa"/>
            <w:vAlign w:val="center"/>
          </w:tcPr>
          <w:p w14:paraId="4E42513F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133CC41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B2FC8CF" w14:textId="74BDD658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1.13.</w:t>
            </w:r>
          </w:p>
        </w:tc>
        <w:tc>
          <w:tcPr>
            <w:tcW w:w="9043" w:type="dxa"/>
          </w:tcPr>
          <w:p w14:paraId="348F3F16" w14:textId="4E7E6C55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В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ыразила благодарность за капитальный ремонт Кубинской школы №2.  Отметила, что школа полностью преобразилась, появился отдельный актовый зал, стадион, столовая и пришкольная территория.  </w:t>
            </w:r>
          </w:p>
          <w:p w14:paraId="7673F5DF" w14:textId="77777777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Рассказала, что в 2023 году на улице Генерала 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Вотинцева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выполнялся сезонный ямочный ремонт, построены современные детская площадка и 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воркаут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, установлен современный автобусный павильон. Поблагодарила за это Главу округа Андрея Робертовича Иванова и </w:t>
            </w:r>
            <w:proofErr w:type="gram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аппарат  Администрации</w:t>
            </w:r>
            <w:proofErr w:type="gram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Однако  отметила</w:t>
            </w:r>
            <w:proofErr w:type="gram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, что все эти затраты были за счет внебюджетных средств, так как земля Минобороны, в связи с чем имеются проблемы по содержанию данных территорий. </w:t>
            </w:r>
          </w:p>
          <w:p w14:paraId="133775F5" w14:textId="59AC65C5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Отчет по бюджету 2023 года предложила поддержать.</w:t>
            </w:r>
          </w:p>
        </w:tc>
        <w:tc>
          <w:tcPr>
            <w:tcW w:w="1843" w:type="dxa"/>
          </w:tcPr>
          <w:p w14:paraId="51B4F9CA" w14:textId="1C137F1F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054CB9">
              <w:rPr>
                <w:rFonts w:cstheme="minorHAnsi"/>
                <w:sz w:val="23"/>
                <w:szCs w:val="23"/>
              </w:rPr>
              <w:t>Шевяхова</w:t>
            </w:r>
            <w:proofErr w:type="spellEnd"/>
            <w:r w:rsidRPr="00054CB9">
              <w:rPr>
                <w:rFonts w:cstheme="minorHAnsi"/>
                <w:sz w:val="23"/>
                <w:szCs w:val="23"/>
              </w:rPr>
              <w:t xml:space="preserve"> Дарья Андреевна – председатель Комитета Территориального общественного самоуправления «Кубинка-2»</w:t>
            </w:r>
          </w:p>
        </w:tc>
        <w:tc>
          <w:tcPr>
            <w:tcW w:w="1304" w:type="dxa"/>
          </w:tcPr>
          <w:p w14:paraId="26DFA6A8" w14:textId="4054D13C" w:rsidR="0024605D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4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096D2DEB" w14:textId="77777777" w:rsidTr="00D32D04">
        <w:tc>
          <w:tcPr>
            <w:tcW w:w="567" w:type="dxa"/>
            <w:vAlign w:val="center"/>
          </w:tcPr>
          <w:p w14:paraId="27D189B5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C9CB408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2B35121" w14:textId="4F7D0E45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1.14.</w:t>
            </w:r>
          </w:p>
        </w:tc>
        <w:tc>
          <w:tcPr>
            <w:tcW w:w="9043" w:type="dxa"/>
          </w:tcPr>
          <w:p w14:paraId="33ADBE73" w14:textId="4EEFD9D7" w:rsidR="0024605D" w:rsidRPr="00054CB9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П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оддержал проект решения по Отчету об исполнении бюджета за 2023 год, однако, по его мнению, имеются признаки неэффективного выделения средств.</w:t>
            </w:r>
          </w:p>
          <w:p w14:paraId="20479078" w14:textId="77777777" w:rsidR="0024605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Отметил, что вызывает тревогу отсутствие государственной регистрации прав муниципалитета на муниципальные квартир, выразил озабоченность проведением капитального ремонта </w:t>
            </w:r>
            <w:proofErr w:type="spell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Голицынской</w:t>
            </w:r>
            <w:proofErr w:type="spell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школы (филиала) в Больших Вяземах. Считает необходимым уделить внимание сбору отходов по мега-</w:t>
            </w:r>
            <w:proofErr w:type="gramStart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>баку,  сдаче</w:t>
            </w:r>
            <w:proofErr w:type="gramEnd"/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шин. Также обозначил проблему по вывозу мусора Рузским региональным оператором</w:t>
            </w: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.</w:t>
            </w:r>
          </w:p>
          <w:p w14:paraId="043C17A3" w14:textId="7744AA56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14:paraId="106387FB" w14:textId="5320A315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054CB9">
              <w:rPr>
                <w:rFonts w:cstheme="minorHAnsi"/>
                <w:sz w:val="23"/>
                <w:szCs w:val="23"/>
              </w:rPr>
              <w:t>Мочалкин</w:t>
            </w:r>
            <w:proofErr w:type="spellEnd"/>
            <w:r w:rsidRPr="00054CB9">
              <w:rPr>
                <w:rFonts w:cstheme="minorHAnsi"/>
                <w:sz w:val="23"/>
                <w:szCs w:val="23"/>
              </w:rPr>
              <w:t xml:space="preserve"> Петр Александрович – житель п. Большие Вяземы</w:t>
            </w:r>
          </w:p>
        </w:tc>
        <w:tc>
          <w:tcPr>
            <w:tcW w:w="1304" w:type="dxa"/>
          </w:tcPr>
          <w:p w14:paraId="556471C3" w14:textId="4D62DC26" w:rsidR="0024605D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614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также письменное обращение от 26.03.2024</w:t>
            </w:r>
          </w:p>
        </w:tc>
      </w:tr>
      <w:tr w:rsidR="0024605D" w:rsidRPr="00E9677B" w14:paraId="49F60149" w14:textId="77777777" w:rsidTr="00D32D04">
        <w:tc>
          <w:tcPr>
            <w:tcW w:w="567" w:type="dxa"/>
            <w:vAlign w:val="center"/>
          </w:tcPr>
          <w:p w14:paraId="3FF8073D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93A88C7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459DF70F" w14:textId="12FCDB8D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1.15.</w:t>
            </w:r>
          </w:p>
        </w:tc>
        <w:tc>
          <w:tcPr>
            <w:tcW w:w="9043" w:type="dxa"/>
          </w:tcPr>
          <w:p w14:paraId="581BE033" w14:textId="61D983E7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Обратила внимание, что благодаря инициативному бюджетированию </w:t>
            </w:r>
            <w:proofErr w:type="spellStart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Перхушковск</w:t>
            </w: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им</w:t>
            </w:r>
            <w:proofErr w:type="spellEnd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отделени</w:t>
            </w: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ем</w:t>
            </w: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Жаворонковской</w:t>
            </w:r>
            <w:proofErr w:type="spellEnd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школы</w:t>
            </w:r>
            <w:r w:rsidRPr="00054CB9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было освоено полтора млн. руб. Полностью обновлена мебель в каждом классе, проводится модернизация гардеробной зоны, закуплена оргтехника. Отметила, что важен не только комфорт учеников, но и также комфорт учителей.</w:t>
            </w:r>
          </w:p>
        </w:tc>
        <w:tc>
          <w:tcPr>
            <w:tcW w:w="1843" w:type="dxa"/>
          </w:tcPr>
          <w:p w14:paraId="4074F7FE" w14:textId="0D5DDF4D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054CB9">
              <w:rPr>
                <w:rFonts w:cstheme="minorHAnsi"/>
                <w:sz w:val="23"/>
                <w:szCs w:val="23"/>
              </w:rPr>
              <w:t xml:space="preserve">Логинова Регина Робертовна – житель </w:t>
            </w:r>
            <w:proofErr w:type="spellStart"/>
            <w:r w:rsidRPr="00054CB9">
              <w:rPr>
                <w:rFonts w:cstheme="minorHAnsi"/>
                <w:sz w:val="23"/>
                <w:szCs w:val="23"/>
              </w:rPr>
              <w:t>с.Юдино</w:t>
            </w:r>
            <w:proofErr w:type="spellEnd"/>
          </w:p>
        </w:tc>
        <w:tc>
          <w:tcPr>
            <w:tcW w:w="1304" w:type="dxa"/>
          </w:tcPr>
          <w:p w14:paraId="625AA197" w14:textId="291F159F" w:rsidR="0024605D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DC1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720F7CC2" w14:textId="77777777" w:rsidTr="00D32D04">
        <w:tc>
          <w:tcPr>
            <w:tcW w:w="567" w:type="dxa"/>
            <w:vAlign w:val="center"/>
          </w:tcPr>
          <w:p w14:paraId="3ADB6F32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F45A191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7D53E754" w14:textId="184F659E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1.16.</w:t>
            </w:r>
          </w:p>
        </w:tc>
        <w:tc>
          <w:tcPr>
            <w:tcW w:w="9043" w:type="dxa"/>
          </w:tcPr>
          <w:p w14:paraId="16DE6F70" w14:textId="6677314A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В</w:t>
            </w: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ыразила благодарность за вклад в сферу образования, за средства, выделенные школе </w:t>
            </w: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«Флагман» </w:t>
            </w: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в рамках инициативного бюджетирования. Рассказала, что на эти средства удалось приобрести необходимую технику для содержания территории.</w:t>
            </w:r>
          </w:p>
        </w:tc>
        <w:tc>
          <w:tcPr>
            <w:tcW w:w="1843" w:type="dxa"/>
          </w:tcPr>
          <w:p w14:paraId="6E65E125" w14:textId="4BF3B847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proofErr w:type="spellStart"/>
            <w:r w:rsidRPr="00EA573D">
              <w:rPr>
                <w:rFonts w:cstheme="minorHAnsi"/>
                <w:sz w:val="23"/>
                <w:szCs w:val="23"/>
              </w:rPr>
              <w:t>Хелали</w:t>
            </w:r>
            <w:proofErr w:type="spellEnd"/>
            <w:r w:rsidRPr="00EA573D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EA573D">
              <w:rPr>
                <w:rFonts w:cstheme="minorHAnsi"/>
                <w:sz w:val="23"/>
                <w:szCs w:val="23"/>
              </w:rPr>
              <w:t>Харисс</w:t>
            </w:r>
            <w:proofErr w:type="spellEnd"/>
            <w:r w:rsidRPr="00EA573D">
              <w:rPr>
                <w:rFonts w:cstheme="minorHAnsi"/>
                <w:sz w:val="23"/>
                <w:szCs w:val="23"/>
              </w:rPr>
              <w:t xml:space="preserve"> Наталья Александровна – житель </w:t>
            </w:r>
            <w:proofErr w:type="spellStart"/>
            <w:r w:rsidRPr="00EA573D">
              <w:rPr>
                <w:rFonts w:cstheme="minorHAnsi"/>
                <w:sz w:val="23"/>
                <w:szCs w:val="23"/>
              </w:rPr>
              <w:t>г.Одинцово</w:t>
            </w:r>
            <w:proofErr w:type="spellEnd"/>
          </w:p>
        </w:tc>
        <w:tc>
          <w:tcPr>
            <w:tcW w:w="1304" w:type="dxa"/>
          </w:tcPr>
          <w:p w14:paraId="557B30E4" w14:textId="3C344FEA" w:rsidR="0024605D" w:rsidRPr="008A2DC1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73D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2F66D395" w14:textId="77777777" w:rsidTr="00D32D04">
        <w:tc>
          <w:tcPr>
            <w:tcW w:w="567" w:type="dxa"/>
            <w:vAlign w:val="center"/>
          </w:tcPr>
          <w:p w14:paraId="3CA5C716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ED36884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4F5D5B68" w14:textId="6E1EFDF0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</w:t>
            </w:r>
            <w:r>
              <w:rPr>
                <w:rFonts w:cstheme="minorHAnsi"/>
                <w:sz w:val="23"/>
                <w:szCs w:val="23"/>
              </w:rPr>
              <w:t>7</w:t>
            </w:r>
            <w:r w:rsidRPr="007312D4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9043" w:type="dxa"/>
          </w:tcPr>
          <w:p w14:paraId="4B887B40" w14:textId="4EF5DAFE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>
              <w:rPr>
                <w:rFonts w:eastAsia="Times New Roman" w:cstheme="minorHAnsi"/>
                <w:sz w:val="23"/>
                <w:szCs w:val="23"/>
                <w:lang w:eastAsia="ru-RU"/>
              </w:rPr>
              <w:t>П</w:t>
            </w: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облагодарила Администрацию </w:t>
            </w:r>
            <w:proofErr w:type="gramStart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округа  за</w:t>
            </w:r>
            <w:proofErr w:type="gramEnd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строительство тротуара на </w:t>
            </w:r>
            <w:proofErr w:type="spellStart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ул.Чехова</w:t>
            </w:r>
            <w:proofErr w:type="spellEnd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в 2023 году. Отметила, что в городе проведена большая работа. Поддержала отчет.</w:t>
            </w:r>
          </w:p>
        </w:tc>
        <w:tc>
          <w:tcPr>
            <w:tcW w:w="1843" w:type="dxa"/>
          </w:tcPr>
          <w:p w14:paraId="4DED1141" w14:textId="504A8195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EA573D">
              <w:rPr>
                <w:rFonts w:cstheme="minorHAnsi"/>
                <w:sz w:val="23"/>
                <w:szCs w:val="23"/>
              </w:rPr>
              <w:t xml:space="preserve">Озерова Анастасия Андреевна – житель </w:t>
            </w:r>
            <w:proofErr w:type="spellStart"/>
            <w:r w:rsidRPr="00EA573D">
              <w:rPr>
                <w:rFonts w:cstheme="minorHAnsi"/>
                <w:sz w:val="23"/>
                <w:szCs w:val="23"/>
              </w:rPr>
              <w:t>г.Звенигород</w:t>
            </w:r>
            <w:proofErr w:type="spellEnd"/>
          </w:p>
        </w:tc>
        <w:tc>
          <w:tcPr>
            <w:tcW w:w="1304" w:type="dxa"/>
          </w:tcPr>
          <w:p w14:paraId="1ABBBDA3" w14:textId="288D2AA3" w:rsidR="0024605D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DC1">
              <w:rPr>
                <w:rFonts w:ascii="Times New Roman" w:hAnsi="Times New Roman" w:cs="Times New Roman"/>
                <w:sz w:val="20"/>
                <w:szCs w:val="20"/>
              </w:rPr>
              <w:t>Устное выступление</w:t>
            </w:r>
          </w:p>
        </w:tc>
      </w:tr>
      <w:tr w:rsidR="0024605D" w:rsidRPr="00E9677B" w14:paraId="7B2324DA" w14:textId="77777777" w:rsidTr="00D32D04">
        <w:tc>
          <w:tcPr>
            <w:tcW w:w="567" w:type="dxa"/>
            <w:vAlign w:val="center"/>
          </w:tcPr>
          <w:p w14:paraId="4EDC4817" w14:textId="77777777" w:rsidR="0024605D" w:rsidRPr="00E9677B" w:rsidRDefault="0024605D" w:rsidP="002460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3C6685A" w14:textId="77777777" w:rsidR="0024605D" w:rsidRPr="007312D4" w:rsidRDefault="0024605D" w:rsidP="0024605D">
            <w:pPr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993" w:type="dxa"/>
          </w:tcPr>
          <w:p w14:paraId="1D9E4846" w14:textId="5A627170" w:rsidR="0024605D" w:rsidRPr="007312D4" w:rsidRDefault="0024605D" w:rsidP="0024605D">
            <w:pPr>
              <w:ind w:left="142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1.1</w:t>
            </w:r>
            <w:r>
              <w:rPr>
                <w:rFonts w:cstheme="minorHAnsi"/>
                <w:sz w:val="23"/>
                <w:szCs w:val="23"/>
              </w:rPr>
              <w:t>8</w:t>
            </w:r>
            <w:r w:rsidRPr="007312D4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9043" w:type="dxa"/>
          </w:tcPr>
          <w:p w14:paraId="6095FFF2" w14:textId="77777777" w:rsidR="0024605D" w:rsidRPr="00EA573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Контрольно-счетной палатой Одинцовского городского округа проведена проверка годового отчета об исполнении бюджета Одинцовского городского округа за 2023 год.</w:t>
            </w:r>
          </w:p>
          <w:p w14:paraId="7588DB46" w14:textId="77777777" w:rsidR="0024605D" w:rsidRPr="00EA573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Отметил, что отчет об исполнении бюджета за 2023 год представлен                     Финансово-казначейским управлением с соблюдением требований по объему и срокам представления. </w:t>
            </w:r>
          </w:p>
          <w:p w14:paraId="1E511002" w14:textId="77777777" w:rsidR="0024605D" w:rsidRPr="00EA573D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Обратил внимание, что документы и материалы, представленные в Контрольно-счетную палату </w:t>
            </w:r>
            <w:proofErr w:type="gramStart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одновременно  с</w:t>
            </w:r>
            <w:proofErr w:type="gramEnd"/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 xml:space="preserve"> проектом бюджета,  соответствуют перечню документов и материалов, предусмотренных законодательством. </w:t>
            </w:r>
          </w:p>
          <w:p w14:paraId="19F033F7" w14:textId="21E1C67A" w:rsidR="0024605D" w:rsidRPr="007312D4" w:rsidRDefault="0024605D" w:rsidP="0024605D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eastAsia="Times New Roman" w:cstheme="minorHAnsi"/>
                <w:sz w:val="23"/>
                <w:szCs w:val="23"/>
                <w:lang w:eastAsia="ru-RU"/>
              </w:rPr>
            </w:pPr>
            <w:r w:rsidRPr="00EA573D">
              <w:rPr>
                <w:rFonts w:eastAsia="Times New Roman" w:cstheme="minorHAnsi"/>
                <w:sz w:val="23"/>
                <w:szCs w:val="23"/>
                <w:lang w:eastAsia="ru-RU"/>
              </w:rPr>
              <w:t>Сообщил, что по результатам проведенной проверки отчета об исполнении бюджета Одинцовского городского округа за 2023 год Контрольно-счетная палата подтверждает достоверность отчета об исполнении бюджета округа за 2023 год, представленного в форме проекта, и считает целесообразным предложить Совету депутатов Одинцовского городского округа утвердить отчет об исполнении бюджета Одинцовского городского округа за 2023 год.</w:t>
            </w:r>
          </w:p>
        </w:tc>
        <w:tc>
          <w:tcPr>
            <w:tcW w:w="1843" w:type="dxa"/>
          </w:tcPr>
          <w:p w14:paraId="2F064DB8" w14:textId="77777777" w:rsidR="0024605D" w:rsidRPr="007312D4" w:rsidRDefault="0024605D" w:rsidP="0024605D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7312D4">
              <w:rPr>
                <w:rFonts w:cstheme="minorHAnsi"/>
                <w:sz w:val="23"/>
                <w:szCs w:val="23"/>
              </w:rPr>
              <w:t>Ермолаев Н.А. – председатель Контрольно-счетной палаты Одинцовского городского округа</w:t>
            </w:r>
          </w:p>
        </w:tc>
        <w:tc>
          <w:tcPr>
            <w:tcW w:w="1304" w:type="dxa"/>
          </w:tcPr>
          <w:p w14:paraId="1FE04E28" w14:textId="77777777" w:rsidR="0024605D" w:rsidRPr="00E9677B" w:rsidRDefault="0024605D" w:rsidP="00246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9677B">
              <w:rPr>
                <w:rFonts w:ascii="Times New Roman" w:hAnsi="Times New Roman" w:cs="Times New Roman"/>
                <w:sz w:val="20"/>
                <w:szCs w:val="20"/>
              </w:rPr>
              <w:t>стное выступление</w:t>
            </w:r>
          </w:p>
        </w:tc>
      </w:tr>
    </w:tbl>
    <w:p w14:paraId="2E672C92" w14:textId="700178DB" w:rsidR="007A58BD" w:rsidRDefault="007A58BD" w:rsidP="00F03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25B5E7" w14:textId="77777777" w:rsidR="00015A25" w:rsidRDefault="00015A25" w:rsidP="00F03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5455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</w:t>
      </w:r>
      <w:r w:rsidR="00A90991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5F5455">
        <w:rPr>
          <w:rFonts w:ascii="Times New Roman" w:hAnsi="Times New Roman" w:cs="Times New Roman"/>
          <w:sz w:val="24"/>
          <w:szCs w:val="24"/>
          <w:lang w:eastAsia="ru-RU"/>
        </w:rPr>
        <w:t>омиссии</w:t>
      </w:r>
      <w:r w:rsidR="00A90991">
        <w:rPr>
          <w:rFonts w:ascii="Times New Roman" w:hAnsi="Times New Roman" w:cs="Times New Roman"/>
          <w:sz w:val="24"/>
          <w:szCs w:val="24"/>
          <w:lang w:eastAsia="ru-RU"/>
        </w:rPr>
        <w:t xml:space="preserve"> по подготовке и проведению публичных слушаний</w:t>
      </w:r>
      <w:r w:rsidRPr="005F545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7C0DFF5" w14:textId="559123E3" w:rsidR="00015A25" w:rsidRDefault="00015A25" w:rsidP="00F03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Считать публичные слушания по проекту решения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Одинцовского городского округа Московской области </w:t>
      </w:r>
      <w:r w:rsidR="003D6398" w:rsidRPr="003D6398">
        <w:rPr>
          <w:rFonts w:ascii="Times New Roman" w:hAnsi="Times New Roman" w:cs="Times New Roman"/>
          <w:sz w:val="24"/>
          <w:szCs w:val="24"/>
        </w:rPr>
        <w:t>«Об исполнении бюджета Одинцовского городского округа Московской области за 202</w:t>
      </w:r>
      <w:r w:rsidR="00EA573D">
        <w:rPr>
          <w:rFonts w:ascii="Times New Roman" w:hAnsi="Times New Roman" w:cs="Times New Roman"/>
          <w:sz w:val="24"/>
          <w:szCs w:val="24"/>
        </w:rPr>
        <w:t>3</w:t>
      </w:r>
      <w:r w:rsidR="003D6398" w:rsidRPr="003D6398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состоявшимися.</w:t>
      </w:r>
    </w:p>
    <w:p w14:paraId="71283397" w14:textId="73893DBA" w:rsidR="00015A25" w:rsidRDefault="00015A25" w:rsidP="00F03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Утвердить настоящее заключение о публичных слушаниях и направить его</w:t>
      </w:r>
      <w:r w:rsidR="009C26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5DD7">
        <w:rPr>
          <w:rFonts w:ascii="Times New Roman" w:hAnsi="Times New Roman" w:cs="Times New Roman"/>
          <w:sz w:val="24"/>
          <w:szCs w:val="24"/>
          <w:lang w:eastAsia="ru-RU"/>
        </w:rPr>
        <w:t>в Администрацию</w:t>
      </w:r>
      <w:r w:rsidR="009C265A">
        <w:rPr>
          <w:rFonts w:ascii="Times New Roman" w:hAnsi="Times New Roman" w:cs="Times New Roman"/>
          <w:sz w:val="24"/>
          <w:szCs w:val="24"/>
          <w:lang w:eastAsia="ru-RU"/>
        </w:rPr>
        <w:t xml:space="preserve"> Одинцовского городского округа </w:t>
      </w:r>
      <w:r w:rsidR="00375DD7">
        <w:rPr>
          <w:rFonts w:ascii="Times New Roman" w:hAnsi="Times New Roman" w:cs="Times New Roman"/>
          <w:sz w:val="24"/>
          <w:szCs w:val="24"/>
          <w:lang w:eastAsia="ru-RU"/>
        </w:rPr>
        <w:t>для хранения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EFF249" w14:textId="77777777" w:rsidR="003931C5" w:rsidRDefault="00015A25" w:rsidP="003931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Опубликовать настоящее заключение о публичных слушаниях в официальных средствах массовой информации Одинцовского городского округа</w:t>
      </w:r>
      <w:r w:rsidR="003931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31C5">
        <w:rPr>
          <w:rFonts w:ascii="Times New Roman" w:hAnsi="Times New Roman" w:cs="Times New Roman"/>
          <w:sz w:val="24"/>
          <w:szCs w:val="24"/>
        </w:rPr>
        <w:t>и на официальном сайте Одинцовского городского округа</w:t>
      </w:r>
      <w:r w:rsidR="00193B2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14:paraId="7D2EB4BB" w14:textId="0D8553F6" w:rsidR="00015A25" w:rsidRDefault="00015A25" w:rsidP="0001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D85E73" w14:textId="5189EA70" w:rsidR="00A90991" w:rsidRDefault="0077285D" w:rsidP="00726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5D">
        <w:rPr>
          <w:rFonts w:ascii="Times New Roman" w:hAnsi="Times New Roman" w:cs="Times New Roman"/>
          <w:sz w:val="24"/>
          <w:szCs w:val="24"/>
        </w:rPr>
        <w:t>Заместитель Главы Одинцовского городского округа</w:t>
      </w:r>
      <w:r w:rsidR="00A90991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EAC26A4" w14:textId="77777777" w:rsidR="00833AFB" w:rsidRDefault="00A90991" w:rsidP="00833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7285D" w:rsidRPr="007728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728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33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3AFB">
        <w:rPr>
          <w:rFonts w:ascii="Times New Roman" w:hAnsi="Times New Roman" w:cs="Times New Roman"/>
          <w:sz w:val="24"/>
          <w:szCs w:val="24"/>
        </w:rPr>
        <w:t xml:space="preserve">М.А. </w:t>
      </w:r>
      <w:r w:rsidR="0077285D" w:rsidRPr="0077285D">
        <w:rPr>
          <w:rFonts w:ascii="Times New Roman" w:hAnsi="Times New Roman" w:cs="Times New Roman"/>
          <w:sz w:val="24"/>
          <w:szCs w:val="24"/>
        </w:rPr>
        <w:t xml:space="preserve">Бажанова </w:t>
      </w:r>
    </w:p>
    <w:p w14:paraId="4D531248" w14:textId="77777777" w:rsidR="00DE7D5C" w:rsidRDefault="00DE7D5C" w:rsidP="00833AFB">
      <w:pPr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14:paraId="06F1308C" w14:textId="32F3A294" w:rsidR="0077285D" w:rsidRDefault="0077285D" w:rsidP="00833AFB">
      <w:pPr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Заместитель </w:t>
      </w:r>
      <w:r w:rsidRPr="002D342B">
        <w:rPr>
          <w:color w:val="000000"/>
          <w:sz w:val="24"/>
          <w:szCs w:val="24"/>
          <w:lang w:eastAsia="ru-RU" w:bidi="ru-RU"/>
        </w:rPr>
        <w:t>Главы Одинцовског</w:t>
      </w:r>
      <w:r>
        <w:rPr>
          <w:color w:val="000000"/>
          <w:sz w:val="24"/>
          <w:szCs w:val="24"/>
          <w:lang w:eastAsia="ru-RU" w:bidi="ru-RU"/>
        </w:rPr>
        <w:t>о городского округа –</w:t>
      </w:r>
    </w:p>
    <w:p w14:paraId="6DE01CE9" w14:textId="77777777" w:rsidR="00A90991" w:rsidRDefault="0077285D" w:rsidP="0077285D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начальник</w:t>
      </w:r>
      <w:r w:rsidRPr="002D342B">
        <w:rPr>
          <w:color w:val="000000"/>
          <w:sz w:val="24"/>
          <w:szCs w:val="24"/>
          <w:lang w:eastAsia="ru-RU" w:bidi="ru-RU"/>
        </w:rPr>
        <w:t xml:space="preserve">  Финансово</w:t>
      </w:r>
      <w:proofErr w:type="gramEnd"/>
      <w:r w:rsidRPr="002D342B">
        <w:rPr>
          <w:color w:val="000000"/>
          <w:sz w:val="24"/>
          <w:szCs w:val="24"/>
          <w:lang w:eastAsia="ru-RU" w:bidi="ru-RU"/>
        </w:rPr>
        <w:t xml:space="preserve">-казначейского управления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A90991">
        <w:rPr>
          <w:sz w:val="24"/>
          <w:szCs w:val="24"/>
        </w:rPr>
        <w:t>–</w:t>
      </w:r>
    </w:p>
    <w:p w14:paraId="49C1FD5F" w14:textId="6726A5F5" w:rsidR="0077285D" w:rsidRPr="002D342B" w:rsidRDefault="00A90991" w:rsidP="0077285D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заместитель председателя Комиссии                        </w:t>
      </w:r>
      <w:r w:rsidR="0077285D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</w:t>
      </w:r>
      <w:r w:rsidR="001B17B4">
        <w:rPr>
          <w:color w:val="000000"/>
          <w:sz w:val="24"/>
          <w:szCs w:val="24"/>
          <w:lang w:eastAsia="ru-RU" w:bidi="ru-RU"/>
        </w:rPr>
        <w:t xml:space="preserve">   </w:t>
      </w:r>
      <w:proofErr w:type="spellStart"/>
      <w:r w:rsidR="00833AFB">
        <w:rPr>
          <w:color w:val="000000"/>
          <w:sz w:val="24"/>
          <w:szCs w:val="24"/>
          <w:lang w:eastAsia="ru-RU" w:bidi="ru-RU"/>
        </w:rPr>
        <w:t>Л.В.</w:t>
      </w:r>
      <w:r w:rsidR="0077285D">
        <w:rPr>
          <w:color w:val="000000"/>
          <w:sz w:val="24"/>
          <w:szCs w:val="24"/>
          <w:lang w:eastAsia="ru-RU" w:bidi="ru-RU"/>
        </w:rPr>
        <w:t>Тарасова</w:t>
      </w:r>
      <w:proofErr w:type="spellEnd"/>
      <w:r w:rsidR="0077285D">
        <w:rPr>
          <w:color w:val="000000"/>
          <w:sz w:val="24"/>
          <w:szCs w:val="24"/>
          <w:lang w:eastAsia="ru-RU" w:bidi="ru-RU"/>
        </w:rPr>
        <w:t xml:space="preserve"> </w:t>
      </w:r>
    </w:p>
    <w:p w14:paraId="3222008D" w14:textId="4E7882AD" w:rsidR="0077285D" w:rsidRDefault="0077285D" w:rsidP="004311C0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</w:p>
    <w:p w14:paraId="003A155F" w14:textId="77777777" w:rsidR="003D6398" w:rsidRDefault="003D6398" w:rsidP="004311C0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</w:p>
    <w:p w14:paraId="5D7BEF4C" w14:textId="47B0E414" w:rsidR="00A90991" w:rsidRDefault="002D342B" w:rsidP="004311C0">
      <w:pPr>
        <w:pStyle w:val="23"/>
        <w:shd w:val="clear" w:color="auto" w:fill="auto"/>
        <w:spacing w:line="24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Заместитель</w:t>
      </w:r>
      <w:r w:rsidRPr="002D342B">
        <w:rPr>
          <w:color w:val="000000"/>
          <w:sz w:val="24"/>
          <w:szCs w:val="24"/>
          <w:lang w:eastAsia="ru-RU" w:bidi="ru-RU"/>
        </w:rPr>
        <w:t xml:space="preserve"> Главы Одинцовского городского округа </w:t>
      </w:r>
      <w:r w:rsidR="00A90991">
        <w:rPr>
          <w:sz w:val="24"/>
          <w:szCs w:val="24"/>
        </w:rPr>
        <w:t>–</w:t>
      </w:r>
    </w:p>
    <w:p w14:paraId="06CD3DF1" w14:textId="351714E8" w:rsidR="001B17B4" w:rsidRDefault="00A90991" w:rsidP="00EA573D">
      <w:pPr>
        <w:pStyle w:val="23"/>
        <w:shd w:val="clear" w:color="auto" w:fill="auto"/>
        <w:spacing w:line="240" w:lineRule="exact"/>
        <w:jc w:val="left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заместитель председателя </w:t>
      </w:r>
      <w:proofErr w:type="spellStart"/>
      <w:r>
        <w:rPr>
          <w:sz w:val="24"/>
          <w:szCs w:val="24"/>
        </w:rPr>
        <w:t>Комисии</w:t>
      </w:r>
      <w:proofErr w:type="spellEnd"/>
      <w:r>
        <w:rPr>
          <w:sz w:val="24"/>
          <w:szCs w:val="24"/>
        </w:rPr>
        <w:t xml:space="preserve">                           </w:t>
      </w:r>
      <w:r w:rsidR="002D342B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</w:t>
      </w:r>
      <w:r>
        <w:rPr>
          <w:color w:val="000000"/>
          <w:sz w:val="24"/>
          <w:szCs w:val="24"/>
          <w:lang w:eastAsia="ru-RU" w:bidi="ru-RU"/>
        </w:rPr>
        <w:t xml:space="preserve">                                </w:t>
      </w:r>
      <w:r w:rsidR="002D342B">
        <w:rPr>
          <w:color w:val="000000"/>
          <w:sz w:val="24"/>
          <w:szCs w:val="24"/>
          <w:lang w:eastAsia="ru-RU" w:bidi="ru-RU"/>
        </w:rPr>
        <w:t xml:space="preserve">                    </w:t>
      </w:r>
      <w:r w:rsidR="001B17B4">
        <w:rPr>
          <w:color w:val="000000"/>
          <w:sz w:val="24"/>
          <w:szCs w:val="24"/>
          <w:lang w:eastAsia="ru-RU" w:bidi="ru-RU"/>
        </w:rPr>
        <w:t xml:space="preserve">   </w:t>
      </w:r>
      <w:r w:rsidR="002D342B">
        <w:rPr>
          <w:color w:val="000000"/>
          <w:sz w:val="24"/>
          <w:szCs w:val="24"/>
          <w:lang w:eastAsia="ru-RU" w:bidi="ru-RU"/>
        </w:rPr>
        <w:t xml:space="preserve"> </w:t>
      </w:r>
      <w:r w:rsidR="00833AFB">
        <w:rPr>
          <w:color w:val="000000"/>
          <w:sz w:val="24"/>
          <w:szCs w:val="24"/>
          <w:lang w:eastAsia="ru-RU" w:bidi="ru-RU"/>
        </w:rPr>
        <w:t xml:space="preserve">Р.В. </w:t>
      </w:r>
      <w:r w:rsidR="002D342B">
        <w:rPr>
          <w:color w:val="000000"/>
          <w:sz w:val="24"/>
          <w:szCs w:val="24"/>
          <w:lang w:eastAsia="ru-RU" w:bidi="ru-RU"/>
        </w:rPr>
        <w:t xml:space="preserve">Неретин </w:t>
      </w:r>
    </w:p>
    <w:sectPr w:rsidR="001B17B4" w:rsidSect="00682D38">
      <w:footerReference w:type="default" r:id="rId8"/>
      <w:pgSz w:w="16838" w:h="11906" w:orient="landscape"/>
      <w:pgMar w:top="567" w:right="1134" w:bottom="709" w:left="993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B48F" w14:textId="77777777" w:rsidR="007312D4" w:rsidRDefault="007312D4" w:rsidP="009D2D70">
      <w:pPr>
        <w:spacing w:after="0" w:line="240" w:lineRule="auto"/>
      </w:pPr>
      <w:r>
        <w:separator/>
      </w:r>
    </w:p>
  </w:endnote>
  <w:endnote w:type="continuationSeparator" w:id="0">
    <w:p w14:paraId="1C703B3B" w14:textId="77777777" w:rsidR="007312D4" w:rsidRDefault="007312D4" w:rsidP="009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749247"/>
      <w:docPartObj>
        <w:docPartGallery w:val="Page Numbers (Bottom of Page)"/>
        <w:docPartUnique/>
      </w:docPartObj>
    </w:sdtPr>
    <w:sdtEndPr/>
    <w:sdtContent>
      <w:p w14:paraId="5ACFDE6F" w14:textId="77777777" w:rsidR="007312D4" w:rsidRDefault="007312D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A72">
          <w:rPr>
            <w:noProof/>
          </w:rPr>
          <w:t>24</w:t>
        </w:r>
        <w:r>
          <w:fldChar w:fldCharType="end"/>
        </w:r>
      </w:p>
    </w:sdtContent>
  </w:sdt>
  <w:p w14:paraId="73952DD9" w14:textId="77777777" w:rsidR="007312D4" w:rsidRDefault="007312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8B9A" w14:textId="77777777" w:rsidR="007312D4" w:rsidRDefault="007312D4" w:rsidP="009D2D70">
      <w:pPr>
        <w:spacing w:after="0" w:line="240" w:lineRule="auto"/>
      </w:pPr>
      <w:r>
        <w:separator/>
      </w:r>
    </w:p>
  </w:footnote>
  <w:footnote w:type="continuationSeparator" w:id="0">
    <w:p w14:paraId="2DEBA1D4" w14:textId="77777777" w:rsidR="007312D4" w:rsidRDefault="007312D4" w:rsidP="009D2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30C"/>
    <w:multiLevelType w:val="hybridMultilevel"/>
    <w:tmpl w:val="D0A4D82C"/>
    <w:lvl w:ilvl="0" w:tplc="C8F6400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14659A6"/>
    <w:multiLevelType w:val="hybridMultilevel"/>
    <w:tmpl w:val="9572A748"/>
    <w:lvl w:ilvl="0" w:tplc="932A42D6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E167186"/>
    <w:multiLevelType w:val="hybridMultilevel"/>
    <w:tmpl w:val="CD9A363A"/>
    <w:lvl w:ilvl="0" w:tplc="B14A12F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F702A34"/>
    <w:multiLevelType w:val="hybridMultilevel"/>
    <w:tmpl w:val="ACEA2570"/>
    <w:lvl w:ilvl="0" w:tplc="E8BE7A16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8D63D0"/>
    <w:multiLevelType w:val="hybridMultilevel"/>
    <w:tmpl w:val="6BEA7954"/>
    <w:lvl w:ilvl="0" w:tplc="1D9898DC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37162AE"/>
    <w:multiLevelType w:val="hybridMultilevel"/>
    <w:tmpl w:val="7700BF1C"/>
    <w:lvl w:ilvl="0" w:tplc="6AE201B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5707DE0"/>
    <w:multiLevelType w:val="hybridMultilevel"/>
    <w:tmpl w:val="C8E6AC56"/>
    <w:lvl w:ilvl="0" w:tplc="6E82D3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DCE744A"/>
    <w:multiLevelType w:val="hybridMultilevel"/>
    <w:tmpl w:val="3B06E006"/>
    <w:lvl w:ilvl="0" w:tplc="E8BE7A1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21247"/>
    <w:multiLevelType w:val="hybridMultilevel"/>
    <w:tmpl w:val="A7E6B4E0"/>
    <w:lvl w:ilvl="0" w:tplc="FDB2414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FE"/>
    <w:rsid w:val="00003880"/>
    <w:rsid w:val="00015A25"/>
    <w:rsid w:val="00015CA8"/>
    <w:rsid w:val="00017AF2"/>
    <w:rsid w:val="00023607"/>
    <w:rsid w:val="00032F0E"/>
    <w:rsid w:val="00040D01"/>
    <w:rsid w:val="00050707"/>
    <w:rsid w:val="000526C5"/>
    <w:rsid w:val="00054CB9"/>
    <w:rsid w:val="00060D10"/>
    <w:rsid w:val="00065C5E"/>
    <w:rsid w:val="0007034B"/>
    <w:rsid w:val="0007273D"/>
    <w:rsid w:val="000944E4"/>
    <w:rsid w:val="000A5B83"/>
    <w:rsid w:val="000B4EA1"/>
    <w:rsid w:val="000B5836"/>
    <w:rsid w:val="000C2E01"/>
    <w:rsid w:val="000C6C03"/>
    <w:rsid w:val="000D0C94"/>
    <w:rsid w:val="000E5139"/>
    <w:rsid w:val="000E631C"/>
    <w:rsid w:val="000F0375"/>
    <w:rsid w:val="000F1151"/>
    <w:rsid w:val="000F479F"/>
    <w:rsid w:val="000F5CB5"/>
    <w:rsid w:val="000F6CF0"/>
    <w:rsid w:val="00102164"/>
    <w:rsid w:val="0010500D"/>
    <w:rsid w:val="00116EF5"/>
    <w:rsid w:val="00117C55"/>
    <w:rsid w:val="001561F9"/>
    <w:rsid w:val="00162AF1"/>
    <w:rsid w:val="00164C6B"/>
    <w:rsid w:val="00192BF4"/>
    <w:rsid w:val="00193B20"/>
    <w:rsid w:val="001978CD"/>
    <w:rsid w:val="001B17B4"/>
    <w:rsid w:val="001B46DE"/>
    <w:rsid w:val="001C037C"/>
    <w:rsid w:val="001C5EBF"/>
    <w:rsid w:val="001C7B0B"/>
    <w:rsid w:val="001D5439"/>
    <w:rsid w:val="001D57D1"/>
    <w:rsid w:val="001D7661"/>
    <w:rsid w:val="001E5173"/>
    <w:rsid w:val="001F4C4A"/>
    <w:rsid w:val="001F58D1"/>
    <w:rsid w:val="002011BC"/>
    <w:rsid w:val="00214FB6"/>
    <w:rsid w:val="002257FE"/>
    <w:rsid w:val="002271D4"/>
    <w:rsid w:val="00240536"/>
    <w:rsid w:val="0024605D"/>
    <w:rsid w:val="00260EBB"/>
    <w:rsid w:val="0026171C"/>
    <w:rsid w:val="002657E6"/>
    <w:rsid w:val="0028038C"/>
    <w:rsid w:val="00293F51"/>
    <w:rsid w:val="002944E1"/>
    <w:rsid w:val="00297157"/>
    <w:rsid w:val="002A773D"/>
    <w:rsid w:val="002B1DF9"/>
    <w:rsid w:val="002B5650"/>
    <w:rsid w:val="002C1C92"/>
    <w:rsid w:val="002C3069"/>
    <w:rsid w:val="002D342B"/>
    <w:rsid w:val="002E1949"/>
    <w:rsid w:val="002E37DA"/>
    <w:rsid w:val="002F72A3"/>
    <w:rsid w:val="003031CC"/>
    <w:rsid w:val="003130C2"/>
    <w:rsid w:val="00315BF4"/>
    <w:rsid w:val="00316114"/>
    <w:rsid w:val="003275AE"/>
    <w:rsid w:val="00335C5F"/>
    <w:rsid w:val="003436B8"/>
    <w:rsid w:val="00345C42"/>
    <w:rsid w:val="003508FA"/>
    <w:rsid w:val="00354D9C"/>
    <w:rsid w:val="00355A72"/>
    <w:rsid w:val="00357F9C"/>
    <w:rsid w:val="00367FB7"/>
    <w:rsid w:val="00375DD7"/>
    <w:rsid w:val="00384311"/>
    <w:rsid w:val="00390597"/>
    <w:rsid w:val="003931C5"/>
    <w:rsid w:val="003A5655"/>
    <w:rsid w:val="003B15E9"/>
    <w:rsid w:val="003B715C"/>
    <w:rsid w:val="003B79D5"/>
    <w:rsid w:val="003C1705"/>
    <w:rsid w:val="003D6398"/>
    <w:rsid w:val="003E3553"/>
    <w:rsid w:val="003F7502"/>
    <w:rsid w:val="00407BE7"/>
    <w:rsid w:val="004164F3"/>
    <w:rsid w:val="0041677D"/>
    <w:rsid w:val="00427F1B"/>
    <w:rsid w:val="004304F0"/>
    <w:rsid w:val="004311C0"/>
    <w:rsid w:val="0043565C"/>
    <w:rsid w:val="00442035"/>
    <w:rsid w:val="004425D2"/>
    <w:rsid w:val="00447CB7"/>
    <w:rsid w:val="0045521F"/>
    <w:rsid w:val="00456BE5"/>
    <w:rsid w:val="004610F9"/>
    <w:rsid w:val="0046326C"/>
    <w:rsid w:val="00463BB4"/>
    <w:rsid w:val="00465CF7"/>
    <w:rsid w:val="00466F2A"/>
    <w:rsid w:val="004675BB"/>
    <w:rsid w:val="0047421F"/>
    <w:rsid w:val="0047501B"/>
    <w:rsid w:val="00475A0E"/>
    <w:rsid w:val="00480564"/>
    <w:rsid w:val="00480F92"/>
    <w:rsid w:val="0049020E"/>
    <w:rsid w:val="00497704"/>
    <w:rsid w:val="004A5747"/>
    <w:rsid w:val="004B05A2"/>
    <w:rsid w:val="004C4A78"/>
    <w:rsid w:val="004C5FA1"/>
    <w:rsid w:val="004C70A0"/>
    <w:rsid w:val="004D4771"/>
    <w:rsid w:val="004D6E07"/>
    <w:rsid w:val="004E52E3"/>
    <w:rsid w:val="004F4446"/>
    <w:rsid w:val="004F5556"/>
    <w:rsid w:val="004F6543"/>
    <w:rsid w:val="004F75E8"/>
    <w:rsid w:val="005119B7"/>
    <w:rsid w:val="005160D7"/>
    <w:rsid w:val="005161B1"/>
    <w:rsid w:val="00522092"/>
    <w:rsid w:val="0052259B"/>
    <w:rsid w:val="0052494F"/>
    <w:rsid w:val="005264FB"/>
    <w:rsid w:val="00535C5D"/>
    <w:rsid w:val="00537E02"/>
    <w:rsid w:val="005432CA"/>
    <w:rsid w:val="00555A10"/>
    <w:rsid w:val="00562D16"/>
    <w:rsid w:val="00565846"/>
    <w:rsid w:val="00567B38"/>
    <w:rsid w:val="00571978"/>
    <w:rsid w:val="00582BA3"/>
    <w:rsid w:val="00582EFE"/>
    <w:rsid w:val="005A24D0"/>
    <w:rsid w:val="005A5124"/>
    <w:rsid w:val="005B0DD8"/>
    <w:rsid w:val="005B2892"/>
    <w:rsid w:val="005C01BA"/>
    <w:rsid w:val="005C377F"/>
    <w:rsid w:val="005D187A"/>
    <w:rsid w:val="005D476F"/>
    <w:rsid w:val="005E0AC5"/>
    <w:rsid w:val="005F283E"/>
    <w:rsid w:val="005F5455"/>
    <w:rsid w:val="00610D9B"/>
    <w:rsid w:val="00624AD3"/>
    <w:rsid w:val="00636703"/>
    <w:rsid w:val="006401D0"/>
    <w:rsid w:val="006423F7"/>
    <w:rsid w:val="0064423C"/>
    <w:rsid w:val="006510BB"/>
    <w:rsid w:val="00660393"/>
    <w:rsid w:val="00664430"/>
    <w:rsid w:val="006672B8"/>
    <w:rsid w:val="0067513B"/>
    <w:rsid w:val="00675D83"/>
    <w:rsid w:val="00682D38"/>
    <w:rsid w:val="00686548"/>
    <w:rsid w:val="00686949"/>
    <w:rsid w:val="006901B4"/>
    <w:rsid w:val="00697AD1"/>
    <w:rsid w:val="006A26A7"/>
    <w:rsid w:val="006A2F2A"/>
    <w:rsid w:val="006A4237"/>
    <w:rsid w:val="006A42EE"/>
    <w:rsid w:val="006A60A1"/>
    <w:rsid w:val="006B35AB"/>
    <w:rsid w:val="006C2B55"/>
    <w:rsid w:val="006C30C9"/>
    <w:rsid w:val="006D06DD"/>
    <w:rsid w:val="006D5BB8"/>
    <w:rsid w:val="006E75B0"/>
    <w:rsid w:val="0070095E"/>
    <w:rsid w:val="0070343B"/>
    <w:rsid w:val="00723D7E"/>
    <w:rsid w:val="00726042"/>
    <w:rsid w:val="007312D4"/>
    <w:rsid w:val="0073152F"/>
    <w:rsid w:val="007329E1"/>
    <w:rsid w:val="00742CB6"/>
    <w:rsid w:val="007452A6"/>
    <w:rsid w:val="00753046"/>
    <w:rsid w:val="00757E7F"/>
    <w:rsid w:val="00767C5A"/>
    <w:rsid w:val="0077285D"/>
    <w:rsid w:val="00782DF5"/>
    <w:rsid w:val="007939C6"/>
    <w:rsid w:val="007A58BD"/>
    <w:rsid w:val="007B17B0"/>
    <w:rsid w:val="007B280B"/>
    <w:rsid w:val="007C38E7"/>
    <w:rsid w:val="007C5907"/>
    <w:rsid w:val="007D1990"/>
    <w:rsid w:val="007D2008"/>
    <w:rsid w:val="007D652E"/>
    <w:rsid w:val="007E1746"/>
    <w:rsid w:val="007E257E"/>
    <w:rsid w:val="007E2C7A"/>
    <w:rsid w:val="007E43DF"/>
    <w:rsid w:val="007E6337"/>
    <w:rsid w:val="007F21A2"/>
    <w:rsid w:val="007F4CA5"/>
    <w:rsid w:val="00802608"/>
    <w:rsid w:val="008046E7"/>
    <w:rsid w:val="00805E4A"/>
    <w:rsid w:val="00810197"/>
    <w:rsid w:val="00816B3E"/>
    <w:rsid w:val="008179F5"/>
    <w:rsid w:val="008240F5"/>
    <w:rsid w:val="00824F06"/>
    <w:rsid w:val="00824F43"/>
    <w:rsid w:val="00826C73"/>
    <w:rsid w:val="00833AFB"/>
    <w:rsid w:val="0083437C"/>
    <w:rsid w:val="00835C6E"/>
    <w:rsid w:val="00837834"/>
    <w:rsid w:val="0084294A"/>
    <w:rsid w:val="00845125"/>
    <w:rsid w:val="00847E67"/>
    <w:rsid w:val="00851769"/>
    <w:rsid w:val="00854BD1"/>
    <w:rsid w:val="00855688"/>
    <w:rsid w:val="00861ADB"/>
    <w:rsid w:val="008713CB"/>
    <w:rsid w:val="00871A07"/>
    <w:rsid w:val="008751D4"/>
    <w:rsid w:val="00875713"/>
    <w:rsid w:val="00877517"/>
    <w:rsid w:val="00883BF9"/>
    <w:rsid w:val="008A53EB"/>
    <w:rsid w:val="008A5ADD"/>
    <w:rsid w:val="008C0D47"/>
    <w:rsid w:val="008C3D63"/>
    <w:rsid w:val="008E035F"/>
    <w:rsid w:val="008E346D"/>
    <w:rsid w:val="00911CA7"/>
    <w:rsid w:val="0091263E"/>
    <w:rsid w:val="0091613D"/>
    <w:rsid w:val="00917417"/>
    <w:rsid w:val="00925732"/>
    <w:rsid w:val="009319C4"/>
    <w:rsid w:val="00946C59"/>
    <w:rsid w:val="00947656"/>
    <w:rsid w:val="0094768F"/>
    <w:rsid w:val="00955A39"/>
    <w:rsid w:val="009562BD"/>
    <w:rsid w:val="00960257"/>
    <w:rsid w:val="009940FD"/>
    <w:rsid w:val="00994CA5"/>
    <w:rsid w:val="009A21BE"/>
    <w:rsid w:val="009A62CC"/>
    <w:rsid w:val="009B6E67"/>
    <w:rsid w:val="009C0B90"/>
    <w:rsid w:val="009C265A"/>
    <w:rsid w:val="009C5873"/>
    <w:rsid w:val="009C5D4C"/>
    <w:rsid w:val="009D2B5C"/>
    <w:rsid w:val="009D2D70"/>
    <w:rsid w:val="009D62A9"/>
    <w:rsid w:val="009D72C3"/>
    <w:rsid w:val="009E027D"/>
    <w:rsid w:val="009E5614"/>
    <w:rsid w:val="009F071A"/>
    <w:rsid w:val="009F2DFD"/>
    <w:rsid w:val="009F49FB"/>
    <w:rsid w:val="009F4AA5"/>
    <w:rsid w:val="009F7A72"/>
    <w:rsid w:val="00A01FEB"/>
    <w:rsid w:val="00A20239"/>
    <w:rsid w:val="00A21CEF"/>
    <w:rsid w:val="00A23406"/>
    <w:rsid w:val="00A32862"/>
    <w:rsid w:val="00A35858"/>
    <w:rsid w:val="00A61350"/>
    <w:rsid w:val="00A65771"/>
    <w:rsid w:val="00A90991"/>
    <w:rsid w:val="00AC32F5"/>
    <w:rsid w:val="00AC7579"/>
    <w:rsid w:val="00AE1A16"/>
    <w:rsid w:val="00AE4F96"/>
    <w:rsid w:val="00AE5F9B"/>
    <w:rsid w:val="00AE6F71"/>
    <w:rsid w:val="00AE79B6"/>
    <w:rsid w:val="00AF205A"/>
    <w:rsid w:val="00B11BA2"/>
    <w:rsid w:val="00B11FDA"/>
    <w:rsid w:val="00B23E03"/>
    <w:rsid w:val="00B243DE"/>
    <w:rsid w:val="00B2770A"/>
    <w:rsid w:val="00B40132"/>
    <w:rsid w:val="00B41719"/>
    <w:rsid w:val="00B433A9"/>
    <w:rsid w:val="00B43BE8"/>
    <w:rsid w:val="00B50FD2"/>
    <w:rsid w:val="00B719E3"/>
    <w:rsid w:val="00B77844"/>
    <w:rsid w:val="00B927C1"/>
    <w:rsid w:val="00B95EDD"/>
    <w:rsid w:val="00BA151F"/>
    <w:rsid w:val="00BA2C3F"/>
    <w:rsid w:val="00BB3E27"/>
    <w:rsid w:val="00BB5861"/>
    <w:rsid w:val="00BC1F77"/>
    <w:rsid w:val="00BD428A"/>
    <w:rsid w:val="00BD58A4"/>
    <w:rsid w:val="00BE1643"/>
    <w:rsid w:val="00BE6ADE"/>
    <w:rsid w:val="00BF1420"/>
    <w:rsid w:val="00C01E2C"/>
    <w:rsid w:val="00C10A2F"/>
    <w:rsid w:val="00C141D3"/>
    <w:rsid w:val="00C21AF2"/>
    <w:rsid w:val="00C22ABA"/>
    <w:rsid w:val="00C267FB"/>
    <w:rsid w:val="00C36106"/>
    <w:rsid w:val="00C419EA"/>
    <w:rsid w:val="00C457F5"/>
    <w:rsid w:val="00C47DDE"/>
    <w:rsid w:val="00C55556"/>
    <w:rsid w:val="00C7262B"/>
    <w:rsid w:val="00C75F22"/>
    <w:rsid w:val="00C84132"/>
    <w:rsid w:val="00C848E3"/>
    <w:rsid w:val="00C84984"/>
    <w:rsid w:val="00C86B5A"/>
    <w:rsid w:val="00CB3525"/>
    <w:rsid w:val="00CB5D6A"/>
    <w:rsid w:val="00CC2E55"/>
    <w:rsid w:val="00CC6DF8"/>
    <w:rsid w:val="00CD7073"/>
    <w:rsid w:val="00CE684C"/>
    <w:rsid w:val="00D007D6"/>
    <w:rsid w:val="00D11468"/>
    <w:rsid w:val="00D2111A"/>
    <w:rsid w:val="00D2179D"/>
    <w:rsid w:val="00D24989"/>
    <w:rsid w:val="00D32D04"/>
    <w:rsid w:val="00D3616D"/>
    <w:rsid w:val="00D41A80"/>
    <w:rsid w:val="00D41ADF"/>
    <w:rsid w:val="00D52292"/>
    <w:rsid w:val="00D6034C"/>
    <w:rsid w:val="00D70CD5"/>
    <w:rsid w:val="00D76BC2"/>
    <w:rsid w:val="00D81621"/>
    <w:rsid w:val="00D82185"/>
    <w:rsid w:val="00D82B8A"/>
    <w:rsid w:val="00DA61E2"/>
    <w:rsid w:val="00DA64D8"/>
    <w:rsid w:val="00DB2F4C"/>
    <w:rsid w:val="00DB67ED"/>
    <w:rsid w:val="00DC1207"/>
    <w:rsid w:val="00DC3523"/>
    <w:rsid w:val="00DC45FD"/>
    <w:rsid w:val="00DC7AEA"/>
    <w:rsid w:val="00DE26EB"/>
    <w:rsid w:val="00DE7D5C"/>
    <w:rsid w:val="00DF0E92"/>
    <w:rsid w:val="00E2122A"/>
    <w:rsid w:val="00E2349B"/>
    <w:rsid w:val="00E24F5C"/>
    <w:rsid w:val="00E26B9E"/>
    <w:rsid w:val="00E325E1"/>
    <w:rsid w:val="00E3262A"/>
    <w:rsid w:val="00E33A38"/>
    <w:rsid w:val="00E42D26"/>
    <w:rsid w:val="00E5432E"/>
    <w:rsid w:val="00E5723C"/>
    <w:rsid w:val="00E600C2"/>
    <w:rsid w:val="00E64357"/>
    <w:rsid w:val="00E7073E"/>
    <w:rsid w:val="00E74BB1"/>
    <w:rsid w:val="00E7531F"/>
    <w:rsid w:val="00E87810"/>
    <w:rsid w:val="00E9677B"/>
    <w:rsid w:val="00EA573D"/>
    <w:rsid w:val="00EE6BC7"/>
    <w:rsid w:val="00EF32CA"/>
    <w:rsid w:val="00EF6445"/>
    <w:rsid w:val="00EF7C25"/>
    <w:rsid w:val="00F03FBC"/>
    <w:rsid w:val="00F148E5"/>
    <w:rsid w:val="00F26647"/>
    <w:rsid w:val="00F27961"/>
    <w:rsid w:val="00F33B90"/>
    <w:rsid w:val="00F40D3C"/>
    <w:rsid w:val="00F52730"/>
    <w:rsid w:val="00F53ACA"/>
    <w:rsid w:val="00F56D52"/>
    <w:rsid w:val="00F742D0"/>
    <w:rsid w:val="00F752A5"/>
    <w:rsid w:val="00F77967"/>
    <w:rsid w:val="00FA4C4A"/>
    <w:rsid w:val="00FA5533"/>
    <w:rsid w:val="00FA5977"/>
    <w:rsid w:val="00FB2DA6"/>
    <w:rsid w:val="00FB6184"/>
    <w:rsid w:val="00FC062F"/>
    <w:rsid w:val="00FD16D1"/>
    <w:rsid w:val="00FD3041"/>
    <w:rsid w:val="00FD3C1C"/>
    <w:rsid w:val="00FD6D37"/>
    <w:rsid w:val="00FD719F"/>
    <w:rsid w:val="00FD7249"/>
    <w:rsid w:val="00FF448F"/>
    <w:rsid w:val="00FF6813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2A55"/>
  <w15:docId w15:val="{1BBDA47F-9F0F-4645-8F16-6180EFDB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5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2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5F545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44E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48E5"/>
  </w:style>
  <w:style w:type="paragraph" w:customStyle="1" w:styleId="a5">
    <w:name w:val="Стиль"/>
    <w:rsid w:val="00F148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55A10"/>
  </w:style>
  <w:style w:type="character" w:styleId="a6">
    <w:name w:val="Hyperlink"/>
    <w:basedOn w:val="a0"/>
    <w:uiPriority w:val="99"/>
    <w:unhideWhenUsed/>
    <w:rsid w:val="007E43D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707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0"/>
    <w:link w:val="23"/>
    <w:rsid w:val="004311C0"/>
    <w:rPr>
      <w:rFonts w:eastAsia="Times New Roman"/>
      <w:shd w:val="clear" w:color="auto" w:fill="FFFFFF"/>
    </w:rPr>
  </w:style>
  <w:style w:type="character" w:customStyle="1" w:styleId="Exact">
    <w:name w:val="Подпись к картинке Exact"/>
    <w:basedOn w:val="a0"/>
    <w:link w:val="a9"/>
    <w:rsid w:val="004311C0"/>
    <w:rPr>
      <w:rFonts w:eastAsia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431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4311C0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Exact"/>
    <w:rsid w:val="004311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F448F"/>
    <w:rPr>
      <w:rFonts w:ascii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D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D70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D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2D7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3F35-D807-4219-8D91-DEBF3BA5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User</cp:lastModifiedBy>
  <cp:revision>5</cp:revision>
  <cp:lastPrinted>2024-04-05T12:11:00Z</cp:lastPrinted>
  <dcterms:created xsi:type="dcterms:W3CDTF">2024-04-03T13:51:00Z</dcterms:created>
  <dcterms:modified xsi:type="dcterms:W3CDTF">2024-04-05T12:16:00Z</dcterms:modified>
</cp:coreProperties>
</file>